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Board of Harbor Commissioners, Chaldale Harbor District</w:t>
        <w:br/>
      </w:r>
      <w:r>
        <w:rPr>
          <w:b/>
        </w:rPr>
        <w:t xml:space="preserve">FROM: </w:t>
      </w:r>
      <w:r>
        <w:t>Counter Clerk, Chaldale Harbor Marina</w:t>
        <w:br/>
      </w:r>
      <w:r>
        <w:rPr>
          <w:b/>
        </w:rPr>
        <w:t xml:space="preserve">DATE: </w:t>
      </w:r>
      <w:r>
        <w:t>August 7, 2026</w:t>
        <w:br/>
      </w:r>
      <w:r>
        <w:rPr>
          <w:b/>
        </w:rPr>
        <w:t xml:space="preserve">SUBJECT: </w:t>
      </w:r>
      <w:r>
        <w:t>Customer Billing and Account States Audit (August 2026)</w:t>
      </w:r>
    </w:p>
    <w:p>
      <w:pPr>
        <w:pStyle w:val="Heading1"/>
      </w:pPr>
      <w:r>
        <w:t>Executive Summary</w:t>
      </w:r>
    </w:p>
    <w:p>
      <w:r>
        <w:t>As requested, I have completed a comprehensive audit of our customer billing, account states, and waiting list administration. The audit covered skip events (January 1, 2023 – July 31, 2026), vessel length amendments (August 1, 2022 – present), billing reconciliations for August 2026, and accounts receivable aging as of July 31, 2026. This memo outlines the findings submitted in the attached workbook for the Board’s review and action.</w:t>
      </w:r>
    </w:p>
    <w:p>
      <w:pPr>
        <w:pStyle w:val="Heading1"/>
      </w:pPr>
      <w:r>
        <w:t>Queue Exceptions (Waiting List)</w:t>
      </w:r>
    </w:p>
    <w:p>
      <w:r>
        <w:t>In accordance with Standing Order 15-3 and Resolution 2022-06, we reviewed skip events and length amendments for contemporaneous supporting documentation. A significant number of exceptions were identified:</w:t>
      </w:r>
    </w:p>
    <w:p>
      <w:pPr>
        <w:pStyle w:val="ListBullet"/>
      </w:pPr>
      <w:r>
        <w:t>Priority 1 Exceptions (Immediate Attention):</w:t>
      </w:r>
    </w:p>
    <w:p>
      <w:pPr>
        <w:pStyle w:val="ListBullet2"/>
      </w:pPr>
      <w:r>
        <w:t>303 skip events lacked any supporting justification file on record.</w:t>
      </w:r>
    </w:p>
    <w:p>
      <w:pPr>
        <w:pStyle w:val="ListBullet2"/>
      </w:pPr>
      <w:r>
        <w:t>15 vessel length amendments lacked supporting measurement certificates and resulted in subsequent downstream skip events, potentially altering slip assignments unjustly.</w:t>
      </w:r>
    </w:p>
    <w:p>
      <w:pPr>
        <w:pStyle w:val="ListBullet"/>
      </w:pPr>
      <w:r>
        <w:t>Priority 2 Exceptions:</w:t>
      </w:r>
    </w:p>
    <w:p>
      <w:pPr>
        <w:pStyle w:val="ListBullet2"/>
      </w:pPr>
      <w:r>
        <w:t>6 skip events possessed a justification file, but the file was assembled after the skip occurred (review date after skip date), violating the contemporaneous proof requirement.</w:t>
      </w:r>
    </w:p>
    <w:p>
      <w:pPr>
        <w:pStyle w:val="ListBullet2"/>
      </w:pPr>
      <w:r>
        <w:t>184 vessel length amendments lacked supporting measurement certificates but did not result in subsequent downstream skip events.</w:t>
      </w:r>
    </w:p>
    <w:p>
      <w:pPr>
        <w:pStyle w:val="Heading1"/>
      </w:pPr>
      <w:r>
        <w:t>Billing Reconciliations (Priority 3)</w:t>
      </w:r>
    </w:p>
    <w:p>
      <w:r>
        <w:t>We recalculated the expected monthly charges for all occupied slips based on the foot-month rate schedule (Resolution 2022-06). Billable length was determined by taking the maximum of the rounded-up vessel length overall (LOA) and the assigned slip length.</w:t>
      </w:r>
    </w:p>
    <w:p>
      <w:r>
        <w:t>During reconciliation against the actual August 2026 billing transactions, 317 subledger arithmetic errors were identified. Specifically, these accounts are marked as OCCUPIED in the slip inventory but were not billed any MONTHLY_MOORAGE in August 2026, resulting in a total variance of $119,743.05. These omissions must be corrected in the billing subledger.</w:t>
      </w:r>
    </w:p>
    <w:p>
      <w:pPr>
        <w:pStyle w:val="Heading1"/>
      </w:pPr>
      <w:r>
        <w:t>Delinquencies</w:t>
      </w:r>
    </w:p>
    <w:p>
      <w:r>
        <w:t>A review of the accounts receivable aging report (as of July 31, 2026) matched against currently occupied slips revealed the following serious delinquencies (91+ days past due):</w:t>
      </w:r>
    </w:p>
    <w:p>
      <w:r>
        <w:t>There are 6 active accounts carrying a delinquent balance in the 91-120 and 120+ day aging buckets. The total delinquent balance for these severely past-due accounts is $4,368.00. The Board should review these accounts for immediate collection efforts or lease termination proceedings.</w:t>
      </w:r>
    </w:p>
    <w:p>
      <w:pPr>
        <w:pStyle w:val="Heading1"/>
      </w:pPr>
      <w:r>
        <w:t>Conclusion</w:t>
      </w:r>
    </w:p>
    <w:p>
      <w:r>
        <w:t>The detailed line-item findings, including specific slip and account IDs, are available in the accompanying spreadsheet (chaldale_moorage_audit_2026-08.xlsx). Immediate corrective action is recommended to resolve the unsupported skips and unbilled occupied slips.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