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Moorage Collection and Control Audit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299"/>
        <w:gridCol w:w="5299"/>
      </w:tblGrid>
      <w:tr>
        <w:trPr>
          <w:cantSplit/>
        </w:trPr>
        <w:tc>
          <w:tcPr>
            <w:tcW w:type="dxa" w:w="5299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/>
                <w:b/>
                <w:color w:val="2E5D7B"/>
                <w:sz w:val="14"/>
              </w:rPr>
              <w:t>TO</w:t>
            </w:r>
          </w:p>
        </w:tc>
        <w:tc>
          <w:tcPr>
            <w:tcW w:type="dxa" w:w="5299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6"/>
              </w:rPr>
              <w:t>Board of Harbor Commissioners</w:t>
            </w:r>
          </w:p>
        </w:tc>
      </w:tr>
      <w:tr>
        <w:trPr>
          <w:cantSplit/>
        </w:trPr>
        <w:tc>
          <w:tcPr>
            <w:tcW w:type="dxa" w:w="5299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/>
                <w:b/>
                <w:color w:val="2E5D7B"/>
                <w:sz w:val="14"/>
              </w:rPr>
              <w:t>FROM</w:t>
            </w:r>
          </w:p>
        </w:tc>
        <w:tc>
          <w:tcPr>
            <w:tcW w:type="dxa" w:w="5299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6"/>
              </w:rPr>
              <w:t>Counter Clerk, Chaldale Harbor Marina</w:t>
            </w:r>
          </w:p>
        </w:tc>
      </w:tr>
      <w:tr>
        <w:trPr>
          <w:cantSplit/>
        </w:trPr>
        <w:tc>
          <w:tcPr>
            <w:tcW w:type="dxa" w:w="5299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/>
                <w:b/>
                <w:color w:val="2E5D7B"/>
                <w:sz w:val="14"/>
              </w:rPr>
              <w:t>DATE</w:t>
            </w:r>
          </w:p>
        </w:tc>
        <w:tc>
          <w:tcPr>
            <w:tcW w:type="dxa" w:w="5299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6"/>
              </w:rPr>
              <w:t>August 1, 2026</w:t>
            </w:r>
          </w:p>
        </w:tc>
      </w:tr>
      <w:tr>
        <w:trPr>
          <w:cantSplit/>
        </w:trPr>
        <w:tc>
          <w:tcPr>
            <w:tcW w:type="dxa" w:w="5299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/>
                <w:b/>
                <w:color w:val="2E5D7B"/>
                <w:sz w:val="14"/>
              </w:rPr>
              <w:t>SUBJECT</w:t>
            </w:r>
          </w:p>
        </w:tc>
        <w:tc>
          <w:tcPr>
            <w:tcW w:type="dxa" w:w="5299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6"/>
              </w:rPr>
              <w:t>Who to collect from, what to bill, and which queue controls require action</w:t>
            </w:r>
          </w:p>
        </w:tc>
      </w:tr>
      <w:tr>
        <w:trPr>
          <w:cantSplit/>
        </w:trPr>
        <w:tc>
          <w:tcPr>
            <w:tcW w:type="dxa" w:w="5299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/>
                <w:b/>
                <w:color w:val="2E5D7B"/>
                <w:sz w:val="14"/>
              </w:rPr>
              <w:t>DECISION</w:t>
            </w:r>
          </w:p>
        </w:tc>
        <w:tc>
          <w:tcPr>
            <w:tcW w:type="dxa" w:w="5299"/>
          </w:tcPr>
          <w:p>
            <w:pPr>
              <w:jc w:val="left"/>
            </w:pPr>
            <w:r/>
            <w:r>
              <w:rPr>
                <w:rFonts w:ascii="Liberation Sans" w:hAnsi="Liberation Sans"/>
                <w:b/>
                <w:sz w:val="16"/>
              </w:rPr>
              <w:t>Collect six aged accounts now; validate and post 317 missing August charges separately.</w:t>
            </w:r>
          </w:p>
        </w:tc>
      </w:tr>
    </w:tbl>
    <w:p>
      <w:pPr>
        <w:pStyle w:val="Heading1"/>
      </w:pPr>
      <w:r>
        <w:t>Decision and collection priority</w:t>
      </w:r>
    </w:p>
    <w:p>
      <w:r>
        <w:t>The Board should pursue the six occupied accounts below for $13,166.40 in total account balances. Of that amount, $4,368.00 is specifically in the 91-120 and 120+ buckets: $2,932.80 + $1,435.20. This uses total_due for collection exposure and the two severe buckets for aging severity, both from ar_aging_2026-07-31.xlsx, AR_Aging and Summary; each slip and tenant matches an OCCUPIED row in slip_inventory_2026-08.csv.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66"/>
        <w:gridCol w:w="1766"/>
        <w:gridCol w:w="1766"/>
        <w:gridCol w:w="1766"/>
        <w:gridCol w:w="1766"/>
        <w:gridCol w:w="1766"/>
      </w:tblGrid>
      <w:tr>
        <w:trPr>
          <w:cantSplit/>
        </w:trPr>
        <w:tc>
          <w:tcPr>
            <w:tcW w:type="dxa" w:w="1766"/>
            <w:vAlign w:val="center"/>
            <w:shd w:fill="2E5D7B"/>
          </w:tcPr>
          <w:p>
            <w:pPr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Account</w:t>
            </w:r>
          </w:p>
        </w:tc>
        <w:tc>
          <w:tcPr>
            <w:tcW w:type="dxa" w:w="1766"/>
            <w:vAlign w:val="center"/>
            <w:shd w:fill="2E5D7B"/>
          </w:tcPr>
          <w:p>
            <w:pPr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Tenant</w:t>
            </w:r>
          </w:p>
        </w:tc>
        <w:tc>
          <w:tcPr>
            <w:tcW w:type="dxa" w:w="1766"/>
            <w:vAlign w:val="center"/>
            <w:shd w:fill="2E5D7B"/>
          </w:tcPr>
          <w:p>
            <w:pPr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Slip</w:t>
            </w:r>
          </w:p>
        </w:tc>
        <w:tc>
          <w:tcPr>
            <w:tcW w:type="dxa" w:w="1766"/>
            <w:vAlign w:val="center"/>
            <w:shd w:fill="2E5D7B"/>
          </w:tcPr>
          <w:p>
            <w:pPr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91-120</w:t>
            </w:r>
          </w:p>
        </w:tc>
        <w:tc>
          <w:tcPr>
            <w:tcW w:type="dxa" w:w="1766"/>
            <w:vAlign w:val="center"/>
            <w:shd w:fill="2E5D7B"/>
          </w:tcPr>
          <w:p>
            <w:pPr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120+</w:t>
            </w:r>
          </w:p>
        </w:tc>
        <w:tc>
          <w:tcPr>
            <w:tcW w:type="dxa" w:w="1766"/>
            <w:vAlign w:val="center"/>
            <w:shd w:fill="2E5D7B"/>
          </w:tcPr>
          <w:p>
            <w:pPr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Total due</w:t>
            </w:r>
          </w:p>
        </w:tc>
      </w:tr>
      <w:tr>
        <w:trPr>
          <w:cantSplit/>
        </w:trPr>
        <w:tc>
          <w:tcPr>
            <w:tcW w:type="dxa" w:w="1766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4"/>
              </w:rPr>
              <w:t>AC-LP-0122</w:t>
            </w:r>
          </w:p>
        </w:tc>
        <w:tc>
          <w:tcPr>
            <w:tcW w:type="dxa" w:w="1766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4"/>
              </w:rPr>
              <w:t>Paula Arroyo</w:t>
            </w:r>
          </w:p>
        </w:tc>
        <w:tc>
          <w:tcPr>
            <w:tcW w:type="dxa" w:w="1766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4"/>
              </w:rPr>
              <w:t>LP-0122</w:t>
            </w:r>
          </w:p>
        </w:tc>
        <w:tc>
          <w:tcPr>
            <w:tcW w:type="dxa" w:w="1766"/>
          </w:tcPr>
          <w:p>
            <w:pPr>
              <w:jc w:val="right"/>
            </w:pPr>
            <w:r/>
            <w:r>
              <w:rPr>
                <w:rFonts w:ascii="Liberation Sans" w:hAnsi="Liberation Sans"/>
                <w:b w:val="0"/>
                <w:sz w:val="14"/>
              </w:rPr>
              <w:t>$509.60</w:t>
            </w:r>
          </w:p>
        </w:tc>
        <w:tc>
          <w:tcPr>
            <w:tcW w:type="dxa" w:w="1766"/>
          </w:tcPr>
          <w:p>
            <w:pPr>
              <w:jc w:val="right"/>
            </w:pPr>
            <w:r/>
            <w:r>
              <w:rPr>
                <w:rFonts w:ascii="Liberation Sans" w:hAnsi="Liberation Sans"/>
                <w:b w:val="0"/>
                <w:sz w:val="14"/>
              </w:rPr>
              <w:t>$0.00</w:t>
            </w:r>
          </w:p>
        </w:tc>
        <w:tc>
          <w:tcPr>
            <w:tcW w:type="dxa" w:w="1766"/>
          </w:tcPr>
          <w:p>
            <w:pPr>
              <w:jc w:val="right"/>
            </w:pPr>
            <w:r/>
            <w:r>
              <w:rPr>
                <w:rFonts w:ascii="Liberation Sans" w:hAnsi="Liberation Sans"/>
                <w:b/>
                <w:sz w:val="14"/>
              </w:rPr>
              <w:t>$2,038.40</w:t>
            </w:r>
          </w:p>
        </w:tc>
      </w:tr>
      <w:tr>
        <w:trPr>
          <w:cantSplit/>
        </w:trPr>
        <w:tc>
          <w:tcPr>
            <w:tcW w:type="dxa" w:w="1766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4"/>
              </w:rPr>
              <w:t>AC-LP-0402</w:t>
            </w:r>
          </w:p>
        </w:tc>
        <w:tc>
          <w:tcPr>
            <w:tcW w:type="dxa" w:w="1766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4"/>
              </w:rPr>
              <w:t>Dawn Brown</w:t>
            </w:r>
          </w:p>
        </w:tc>
        <w:tc>
          <w:tcPr>
            <w:tcW w:type="dxa" w:w="1766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4"/>
              </w:rPr>
              <w:t>LP-0402</w:t>
            </w:r>
          </w:p>
        </w:tc>
        <w:tc>
          <w:tcPr>
            <w:tcW w:type="dxa" w:w="1766"/>
          </w:tcPr>
          <w:p>
            <w:pPr>
              <w:jc w:val="right"/>
            </w:pPr>
            <w:r/>
            <w:r>
              <w:rPr>
                <w:rFonts w:ascii="Liberation Sans" w:hAnsi="Liberation Sans"/>
                <w:b w:val="0"/>
                <w:sz w:val="14"/>
              </w:rPr>
              <w:t>$384.80</w:t>
            </w:r>
          </w:p>
        </w:tc>
        <w:tc>
          <w:tcPr>
            <w:tcW w:type="dxa" w:w="1766"/>
          </w:tcPr>
          <w:p>
            <w:pPr>
              <w:jc w:val="right"/>
            </w:pPr>
            <w:r/>
            <w:r>
              <w:rPr>
                <w:rFonts w:ascii="Liberation Sans" w:hAnsi="Liberation Sans"/>
                <w:b w:val="0"/>
                <w:sz w:val="14"/>
              </w:rPr>
              <w:t>$0.00</w:t>
            </w:r>
          </w:p>
        </w:tc>
        <w:tc>
          <w:tcPr>
            <w:tcW w:type="dxa" w:w="1766"/>
          </w:tcPr>
          <w:p>
            <w:pPr>
              <w:jc w:val="right"/>
            </w:pPr>
            <w:r/>
            <w:r>
              <w:rPr>
                <w:rFonts w:ascii="Liberation Sans" w:hAnsi="Liberation Sans"/>
                <w:b/>
                <w:sz w:val="14"/>
              </w:rPr>
              <w:t>$1,539.20</w:t>
            </w:r>
          </w:p>
        </w:tc>
      </w:tr>
      <w:tr>
        <w:trPr>
          <w:cantSplit/>
        </w:trPr>
        <w:tc>
          <w:tcPr>
            <w:tcW w:type="dxa" w:w="1766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4"/>
              </w:rPr>
              <w:t>AC-LP-0602</w:t>
            </w:r>
          </w:p>
        </w:tc>
        <w:tc>
          <w:tcPr>
            <w:tcW w:type="dxa" w:w="1766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4"/>
              </w:rPr>
              <w:t>Lee Maldonado</w:t>
            </w:r>
          </w:p>
        </w:tc>
        <w:tc>
          <w:tcPr>
            <w:tcW w:type="dxa" w:w="1766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4"/>
              </w:rPr>
              <w:t>LP-0602</w:t>
            </w:r>
          </w:p>
        </w:tc>
        <w:tc>
          <w:tcPr>
            <w:tcW w:type="dxa" w:w="1766"/>
          </w:tcPr>
          <w:p>
            <w:pPr>
              <w:jc w:val="right"/>
            </w:pPr>
            <w:r/>
            <w:r>
              <w:rPr>
                <w:rFonts w:ascii="Liberation Sans" w:hAnsi="Liberation Sans"/>
                <w:b w:val="0"/>
                <w:sz w:val="14"/>
              </w:rPr>
              <w:t>$603.20</w:t>
            </w:r>
          </w:p>
        </w:tc>
        <w:tc>
          <w:tcPr>
            <w:tcW w:type="dxa" w:w="1766"/>
          </w:tcPr>
          <w:p>
            <w:pPr>
              <w:jc w:val="right"/>
            </w:pPr>
            <w:r/>
            <w:r>
              <w:rPr>
                <w:rFonts w:ascii="Liberation Sans" w:hAnsi="Liberation Sans"/>
                <w:b w:val="0"/>
                <w:sz w:val="14"/>
              </w:rPr>
              <w:t>$603.20</w:t>
            </w:r>
          </w:p>
        </w:tc>
        <w:tc>
          <w:tcPr>
            <w:tcW w:type="dxa" w:w="1766"/>
          </w:tcPr>
          <w:p>
            <w:pPr>
              <w:jc w:val="right"/>
            </w:pPr>
            <w:r/>
            <w:r>
              <w:rPr>
                <w:rFonts w:ascii="Liberation Sans" w:hAnsi="Liberation Sans"/>
                <w:b/>
                <w:sz w:val="14"/>
              </w:rPr>
              <w:t>$3,016.00</w:t>
            </w:r>
          </w:p>
        </w:tc>
      </w:tr>
      <w:tr>
        <w:trPr>
          <w:cantSplit/>
        </w:trPr>
        <w:tc>
          <w:tcPr>
            <w:tcW w:type="dxa" w:w="1766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4"/>
              </w:rPr>
              <w:t>AC-LP-0605</w:t>
            </w:r>
          </w:p>
        </w:tc>
        <w:tc>
          <w:tcPr>
            <w:tcW w:type="dxa" w:w="1766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4"/>
              </w:rPr>
              <w:t>Andrew Anderson</w:t>
            </w:r>
          </w:p>
        </w:tc>
        <w:tc>
          <w:tcPr>
            <w:tcW w:type="dxa" w:w="1766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4"/>
              </w:rPr>
              <w:t>LP-0605</w:t>
            </w:r>
          </w:p>
        </w:tc>
        <w:tc>
          <w:tcPr>
            <w:tcW w:type="dxa" w:w="1766"/>
          </w:tcPr>
          <w:p>
            <w:pPr>
              <w:jc w:val="right"/>
            </w:pPr>
            <w:r/>
            <w:r>
              <w:rPr>
                <w:rFonts w:ascii="Liberation Sans" w:hAnsi="Liberation Sans"/>
                <w:b w:val="0"/>
                <w:sz w:val="14"/>
              </w:rPr>
              <w:t>$530.40</w:t>
            </w:r>
          </w:p>
        </w:tc>
        <w:tc>
          <w:tcPr>
            <w:tcW w:type="dxa" w:w="1766"/>
          </w:tcPr>
          <w:p>
            <w:pPr>
              <w:jc w:val="right"/>
            </w:pPr>
            <w:r/>
            <w:r>
              <w:rPr>
                <w:rFonts w:ascii="Liberation Sans" w:hAnsi="Liberation Sans"/>
                <w:b w:val="0"/>
                <w:sz w:val="14"/>
              </w:rPr>
              <w:t>$0.00</w:t>
            </w:r>
          </w:p>
        </w:tc>
        <w:tc>
          <w:tcPr>
            <w:tcW w:type="dxa" w:w="1766"/>
          </w:tcPr>
          <w:p>
            <w:pPr>
              <w:jc w:val="right"/>
            </w:pPr>
            <w:r/>
            <w:r>
              <w:rPr>
                <w:rFonts w:ascii="Liberation Sans" w:hAnsi="Liberation Sans"/>
                <w:b/>
                <w:sz w:val="14"/>
              </w:rPr>
              <w:t>$2,121.60</w:t>
            </w:r>
          </w:p>
        </w:tc>
      </w:tr>
      <w:tr>
        <w:trPr>
          <w:cantSplit/>
        </w:trPr>
        <w:tc>
          <w:tcPr>
            <w:tcW w:type="dxa" w:w="1766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4"/>
              </w:rPr>
              <w:t>AC-LP-0713</w:t>
            </w:r>
          </w:p>
        </w:tc>
        <w:tc>
          <w:tcPr>
            <w:tcW w:type="dxa" w:w="1766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4"/>
              </w:rPr>
              <w:t>Stacey Mitchell</w:t>
            </w:r>
          </w:p>
        </w:tc>
        <w:tc>
          <w:tcPr>
            <w:tcW w:type="dxa" w:w="1766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4"/>
              </w:rPr>
              <w:t>LP-0713</w:t>
            </w:r>
          </w:p>
        </w:tc>
        <w:tc>
          <w:tcPr>
            <w:tcW w:type="dxa" w:w="1766"/>
          </w:tcPr>
          <w:p>
            <w:pPr>
              <w:jc w:val="right"/>
            </w:pPr>
            <w:r/>
            <w:r>
              <w:rPr>
                <w:rFonts w:ascii="Liberation Sans" w:hAnsi="Liberation Sans"/>
                <w:b w:val="0"/>
                <w:sz w:val="14"/>
              </w:rPr>
              <w:t>$416.00</w:t>
            </w:r>
          </w:p>
        </w:tc>
        <w:tc>
          <w:tcPr>
            <w:tcW w:type="dxa" w:w="1766"/>
          </w:tcPr>
          <w:p>
            <w:pPr>
              <w:jc w:val="right"/>
            </w:pPr>
            <w:r/>
            <w:r>
              <w:rPr>
                <w:rFonts w:ascii="Liberation Sans" w:hAnsi="Liberation Sans"/>
                <w:b w:val="0"/>
                <w:sz w:val="14"/>
              </w:rPr>
              <w:t>$832.00</w:t>
            </w:r>
          </w:p>
        </w:tc>
        <w:tc>
          <w:tcPr>
            <w:tcW w:type="dxa" w:w="1766"/>
          </w:tcPr>
          <w:p>
            <w:pPr>
              <w:jc w:val="right"/>
            </w:pPr>
            <w:r/>
            <w:r>
              <w:rPr>
                <w:rFonts w:ascii="Liberation Sans" w:hAnsi="Liberation Sans"/>
                <w:b/>
                <w:sz w:val="14"/>
              </w:rPr>
              <w:t>$2,496.00</w:t>
            </w:r>
          </w:p>
        </w:tc>
      </w:tr>
      <w:tr>
        <w:trPr>
          <w:cantSplit/>
        </w:trPr>
        <w:tc>
          <w:tcPr>
            <w:tcW w:type="dxa" w:w="1766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4"/>
              </w:rPr>
              <w:t>AC-LP-0801</w:t>
            </w:r>
          </w:p>
        </w:tc>
        <w:tc>
          <w:tcPr>
            <w:tcW w:type="dxa" w:w="1766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4"/>
              </w:rPr>
              <w:t>Allison Nguyen</w:t>
            </w:r>
          </w:p>
        </w:tc>
        <w:tc>
          <w:tcPr>
            <w:tcW w:type="dxa" w:w="1766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4"/>
              </w:rPr>
              <w:t>LP-0801</w:t>
            </w:r>
          </w:p>
        </w:tc>
        <w:tc>
          <w:tcPr>
            <w:tcW w:type="dxa" w:w="1766"/>
          </w:tcPr>
          <w:p>
            <w:pPr>
              <w:jc w:val="right"/>
            </w:pPr>
            <w:r/>
            <w:r>
              <w:rPr>
                <w:rFonts w:ascii="Liberation Sans" w:hAnsi="Liberation Sans"/>
                <w:b w:val="0"/>
                <w:sz w:val="14"/>
              </w:rPr>
              <w:t>$488.80</w:t>
            </w:r>
          </w:p>
        </w:tc>
        <w:tc>
          <w:tcPr>
            <w:tcW w:type="dxa" w:w="1766"/>
          </w:tcPr>
          <w:p>
            <w:pPr>
              <w:jc w:val="right"/>
            </w:pPr>
            <w:r/>
            <w:r>
              <w:rPr>
                <w:rFonts w:ascii="Liberation Sans" w:hAnsi="Liberation Sans"/>
                <w:b w:val="0"/>
                <w:sz w:val="14"/>
              </w:rPr>
              <w:t>$0.00</w:t>
            </w:r>
          </w:p>
        </w:tc>
        <w:tc>
          <w:tcPr>
            <w:tcW w:type="dxa" w:w="1766"/>
          </w:tcPr>
          <w:p>
            <w:pPr>
              <w:jc w:val="right"/>
            </w:pPr>
            <w:r/>
            <w:r>
              <w:rPr>
                <w:rFonts w:ascii="Liberation Sans" w:hAnsi="Liberation Sans"/>
                <w:b/>
                <w:sz w:val="14"/>
              </w:rPr>
              <w:t>$1,955.20</w:t>
            </w:r>
          </w:p>
        </w:tc>
      </w:tr>
    </w:tbl>
    <w:p>
      <w:r>
        <w:t>Collection sequence: confirm each balance and check the account correspondence for a payment plan or dispute before escalation. The supplied billing export does not establish whether enforcement is tolled.</w:t>
      </w:r>
    </w:p>
    <w:p>
      <w:pPr>
        <w:pStyle w:val="Heading1"/>
      </w:pPr>
      <w:r>
        <w:t>Do not age unposted August charges</w:t>
      </w:r>
    </w:p>
    <w:p>
      <w:r>
        <w:t>Billing Reconciliation compares every 2026-08 OCCUPIED row in slip_inventory_2026-08.csv with August 1 MONTHLY_MOORAGE records in billing_transactions_2022_2026.csv. Expected pre-tax charge is MAX(nominal slip feet, ROUNDUP(vessel LOA,0)) x $10.40 covered or $7.55 open, using Tariff Resolution 2019-14, definition 4 and sections 2.4/7.3, as amended by Resolution 2022-06 sections 1.1-2.1.</w:t>
      </w:r>
    </w:p>
    <w:p>
      <w:r>
        <w:t>The formulas identify 317 occupied slips with no August charge: 127 Gullwing tenants at $49,762.05 and 190 Salmonberry tenants at $70,396.20, totaling $120,158.25. Finance should validate occupancy and post invoices first. These are billing candidates, not delinquent debtors, until a valid charge and due date exist. The workbook lists every tenant and amount.</w:t>
      </w:r>
    </w:p>
    <w:p>
      <w:r>
        <w:br w:type="page"/>
      </w:r>
    </w:p>
    <w:p>
      <w:pPr>
        <w:pStyle w:val="Heading1"/>
      </w:pPr>
      <w:r>
        <w:t>Queue and amendment controls requiring action</w:t>
      </w:r>
    </w:p>
    <w:p>
      <w:pPr>
        <w:pStyle w:val="Heading2"/>
      </w:pPr>
      <w:r>
        <w:t>Skip proof</w:t>
      </w:r>
    </w:p>
    <w:p>
      <w:r>
        <w:t>The requested period contains 309 events in skip_events_2022_2026.csv. Nineteen say documentation_attached=N, and five use offer IDs absent from offer_events_2022_2026.csv. Standing Order 15-3 sections 3.2-3.3 requires the supporting record on the day the slip is worked; Appeal 2018-3, III-A and IV-A, places the burden on the District. A SUSTAINED disposition does not cure a missing file.</w:t>
      </w:r>
    </w:p>
    <w:p>
      <w:r>
        <w:t>Five supplied packet PDFs fall inside the period. None passes the event/offer/packet cross-reference. WL-02618, WL-03044, and the November WL-03390 file are cover-sheet-only and name slips different from the register. WL-02877 and WL-03102 contain support, but each names a different slip, and each event uses an offer ID missing from the offer register. WL-02211 is outside scope. Unsupplied packets are untested, not presumed deficient.</w:t>
      </w:r>
    </w:p>
    <w:p>
      <w:pPr>
        <w:pStyle w:val="Heading2"/>
      </w:pPr>
      <w:r>
        <w:t>Length amendments</w:t>
      </w:r>
    </w:p>
    <w:p>
      <w:r>
        <w:t>Amendment Audit finds 201 LOA amendments entered on or after August 1, 2022 in amendment_log_2022_2026.csv. Twelve have no source_document reference, contrary to Resolution 2022-06 section 4.3. The other 189 have a facially acceptable certificate or yard-sheet reference, but a reference does not prove that the signed source exists. Of the two supplied certificates, MC-2024-0091 verifies WL-02401 / AMD-001288 at 31.7 feet. MC-2024-0062 is a June 2024 check-in certificate for WL-01893 at 31.4 feet; it does not support WL-01893's August 2022 amendment from 26.4 to 25.8 feet, which cites another yard sheet.</w:t>
      </w:r>
    </w:p>
    <w:p>
      <w:r>
        <w:t>Seven reference-only amendments were followed by a vessel-fit skip; obtain their source documents before relying on those fit decisions. WL-03102 also needs review: its cited yard sheet was not produced, and its September packet supports open slip EW-0620 while skip_events records covered slip LP-0806. The packet says the applicant wanted covered moorage, so it does not support the event.</w:t>
      </w:r>
    </w:p>
    <w:p>
      <w:pPr>
        <w:pStyle w:val="Heading1"/>
      </w:pPr>
      <w:r>
        <w:t>Board actions</w:t>
      </w:r>
    </w:p>
    <w:p>
      <w:pPr>
        <w:ind w:left="230" w:hanging="230"/>
      </w:pPr>
      <w:r>
        <w:rPr>
          <w:b/>
        </w:rPr>
        <w:t xml:space="preserve">1. </w:t>
      </w:r>
      <w:r>
        <w:t>Authorize collection activity on the six Aging Report accounts, subject to payment-plan and dispute review.</w:t>
      </w:r>
    </w:p>
    <w:p>
      <w:pPr>
        <w:ind w:left="230" w:hanging="230"/>
      </w:pPr>
      <w:r>
        <w:rPr>
          <w:b/>
        </w:rPr>
        <w:t xml:space="preserve">2. </w:t>
      </w:r>
      <w:r>
        <w:t>Direct Finance to validate and post the 317 missing August charges and reconcile the Gullwing/Salmonberry billing interface.</w:t>
      </w:r>
    </w:p>
    <w:p>
      <w:pPr>
        <w:ind w:left="230" w:hanging="230"/>
      </w:pPr>
      <w:r>
        <w:rPr>
          <w:b/>
        </w:rPr>
        <w:t xml:space="preserve">3. </w:t>
      </w:r>
      <w:r>
        <w:t>Review the 21 calculated skip failures; preserve rank and do not rely on a skip without a matching contemporaneous packet and offer link.</w:t>
      </w:r>
    </w:p>
    <w:p>
      <w:pPr>
        <w:ind w:left="230" w:hanging="230"/>
      </w:pPr>
      <w:r>
        <w:rPr>
          <w:b/>
        </w:rPr>
        <w:t xml:space="preserve">4. </w:t>
      </w:r>
      <w:r>
        <w:t>Flag the 12 no-reference amendments and seven later fit-skip cases until section 4.3 proof is produced.</w:t>
      </w:r>
    </w:p>
    <w:p>
      <w:pPr>
        <w:pStyle w:val="Heading2"/>
      </w:pPr>
      <w:r>
        <w:t>Scope qualification</w:t>
      </w:r>
    </w:p>
    <w:p>
      <w:r>
        <w:t>The August billing test uses vessel_loa_ft in slip_inventory_2026-08.csv as the current operational check-in LOA because certificates for the 1,086 occupied vessels were not supplied. Historical occupancy start/termination dates are absent, so current occupancy is not projected into earlier months. This is a current-month billing control result, not a historical damages estimate.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62" w:right="821" w:bottom="634" w:left="821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D6973"/>
        <w:sz w:val="14"/>
      </w:rPr>
      <w:t xml:space="preserve">CONFIDENTIAL BOARD WORKING PAPER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5D6973"/>
        <w:sz w:val="14"/>
      </w:rPr>
      <w:t>CHALDALE HARBOR DISTRICT  |  BOARD MEMORANDUM  |  AUGUST 1,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40" w:lineRule="auto"/>
    </w:pPr>
    <w:rPr>
      <w:rFonts w:ascii="Liberation Sans" w:hAnsi="Liberation Sans" w:eastAsia="Liberation San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60" w:after="4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9324D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4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2E5D7B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 w:before="60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19324D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Moorage Board Memo - August 1, 2026</dc:title>
  <dc:subject/>
  <dc:creator>Chaldale Harbor Marina Counter Clerk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