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Moorage receivables, billing, and queue audit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55"/>
        <w:gridCol w:w="8712"/>
      </w:tblGrid>
      <w:tr>
        <w:trPr>
          <w:cantSplit/>
        </w:trPr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b/>
                <w:color w:val="1F6D62"/>
              </w:rPr>
              <w:t>TO</w:t>
            </w:r>
          </w:p>
        </w:tc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t>Board of Harbor Commissioners</w:t>
            </w:r>
          </w:p>
        </w:tc>
      </w:tr>
      <w:tr>
        <w:trPr>
          <w:cantSplit/>
        </w:trPr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b/>
                <w:color w:val="1F6D62"/>
              </w:rPr>
              <w:t>FROM</w:t>
            </w:r>
          </w:p>
        </w:tc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t>Counter Clerk, Chaldale Harbor Marina</w:t>
            </w:r>
          </w:p>
        </w:tc>
      </w:tr>
      <w:tr>
        <w:trPr>
          <w:cantSplit/>
        </w:trPr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b/>
                <w:color w:val="1F6D62"/>
              </w:rPr>
              <w:t>DATE</w:t>
            </w:r>
          </w:p>
        </w:tc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t>August 1, 2026</w:t>
            </w:r>
          </w:p>
        </w:tc>
      </w:tr>
      <w:tr>
        <w:trPr>
          <w:cantSplit/>
        </w:trPr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rPr>
                <w:b/>
                <w:color w:val="1F6D62"/>
              </w:rPr>
              <w:t>SUBJECT</w:t>
            </w:r>
          </w:p>
        </w:tc>
        <w:tc>
          <w:tcPr>
            <w:tcW w:type="dxa" w:w="5227"/>
            <w:tcMar>
              <w:top w:w="25" w:type="dxa"/>
              <w:start w:w="40" w:type="dxa"/>
              <w:bottom w:w="25" w:type="dxa"/>
              <w:end w:w="40" w:type="dxa"/>
            </w:tcMar>
          </w:tcPr>
          <w:p>
            <w:r>
              <w:t>Who the District should bill or collect from, and queue controls requiring Board action</w:t>
            </w:r>
          </w:p>
        </w:tc>
      </w:tr>
    </w:tbl>
    <w:p>
      <w:pPr>
        <w:pStyle w:val="Heading1"/>
      </w:pPr>
      <w:r>
        <w:t>Decision summary</w:t>
      </w:r>
    </w:p>
    <w:p>
      <w:r>
        <w:rPr>
          <w:b/>
        </w:rPr>
        <w:t xml:space="preserve">Collect now. </w:t>
      </w:r>
      <w:r>
        <w:t>The six accounts below are occupied in slip_inventory_2026-08.csv and carry a 91-120 or 120+ amount in ar_aging_2026-07-31.xlsx, AR_Aging. Their overdue balance is $10,233.60: 31-60 + 61-90 + 91-120 + 120+, excluding $2,932.80 in the current bucket. Of the overdue amount, $4,368.00 is 91 days or older. Total exposure including current is $13,166.40.</w:t>
      </w:r>
    </w:p>
    <w:p>
      <w:r>
        <w:rPr>
          <w:b/>
        </w:rPr>
        <w:t xml:space="preserve">Correct billing, then collect in the ordinary course. </w:t>
      </w:r>
      <w:r>
        <w:t>For August, 1,086 occupied slips should produce $439,918.30 in base moorage before tax and electricity. billing_transactions_2022_2026.csv contains $319,760.05: all 769 recorded charges reconcile exactly, but 317 occupied slips have no August monthly-moorage transaction. The $120,158.25 shortfall is all 190 occupied Salmonberry slips plus 127 Gullwing slips. These are accrued tariff charges to invoice, not overdue receivables as of August 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</w:trPr>
        <w:tc>
          <w:tcPr>
            <w:tcW w:type="dxa" w:w="3485"/>
            <w:shd w:fill="FFF5D9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6"/>
              </w:rPr>
              <w:t>6 accounts</w:t>
              <w:br/>
            </w:r>
            <w:r>
              <w:rPr>
                <w:b/>
                <w:color w:val="24313D"/>
                <w:sz w:val="17"/>
              </w:rPr>
              <w:t>$10,233.60 overdue</w:t>
            </w:r>
          </w:p>
        </w:tc>
        <w:tc>
          <w:tcPr>
            <w:tcW w:type="dxa" w:w="3485"/>
            <w:shd w:fill="FCE8E6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6"/>
              </w:rPr>
              <w:t>317 slips</w:t>
              <w:br/>
            </w:r>
            <w:r>
              <w:rPr>
                <w:b/>
                <w:color w:val="24313D"/>
                <w:sz w:val="17"/>
              </w:rPr>
              <w:t>$120,158.25 unbilled</w:t>
            </w:r>
          </w:p>
        </w:tc>
        <w:tc>
          <w:tcPr>
            <w:tcW w:type="dxa" w:w="3485"/>
            <w:shd w:fill="EAF2F8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pPr>
              <w:jc w:val="center"/>
            </w:pPr>
            <w:r/>
            <w:r>
              <w:rPr>
                <w:b/>
                <w:color w:val="17324D"/>
                <w:sz w:val="26"/>
              </w:rPr>
              <w:t>6 queue events</w:t>
              <w:br/>
            </w:r>
            <w:r>
              <w:rPr>
                <w:b/>
                <w:color w:val="24313D"/>
                <w:sz w:val="17"/>
              </w:rPr>
              <w:t>Board review in period</w:t>
            </w:r>
          </w:p>
        </w:tc>
      </w:tr>
    </w:tbl>
    <w:p>
      <w:pPr>
        <w:pStyle w:val="Heading1"/>
      </w:pPr>
      <w:r>
        <w:t>Accounts to place in collection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44"/>
        <w:gridCol w:w="1037"/>
        <w:gridCol w:w="1613"/>
        <w:gridCol w:w="1512"/>
        <w:gridCol w:w="1613"/>
      </w:tblGrid>
      <w:tr>
        <w:trPr>
          <w:tblHeader w:val="true"/>
          <w:cantSplit/>
        </w:trPr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Account</w:t>
            </w:r>
          </w:p>
        </w:tc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Tenant</w:t>
            </w:r>
          </w:p>
        </w:tc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Slip</w:t>
            </w:r>
          </w:p>
        </w:tc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Overdue</w:t>
            </w:r>
          </w:p>
        </w:tc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91+</w:t>
            </w:r>
          </w:p>
        </w:tc>
        <w:tc>
          <w:tcPr>
            <w:tcW w:type="dxa" w:w="1742"/>
            <w:shd w:fill="1F6D62"/>
            <w:tcMar>
              <w:top w:w="55" w:type="dxa"/>
              <w:start w:w="45" w:type="dxa"/>
              <w:bottom w:w="55" w:type="dxa"/>
              <w:end w:w="45" w:type="dxa"/>
            </w:tcMar>
          </w:tcPr>
          <w:p>
            <w:r>
              <w:rPr>
                <w:b/>
                <w:color w:val="FFFFFF"/>
                <w:sz w:val="16"/>
              </w:rPr>
              <w:t>Total due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AC-LP-0602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Lee Maldonado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LP-0602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$2,412.80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$1,206.40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$3,016.00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AC-LP-0713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Stacey Mitchell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LP-0713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$2,080.00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$1,248.00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$2,496.00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AC-LP-0605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Andrew Anderson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LP-0605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$1,591.20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$530.40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$2,121.60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AC-LP-0122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Paula Arroyo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LP-0122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$1,528.80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$509.60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$2,038.40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AC-LP-0801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Allison Nguyen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LP-0801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$1,466.40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$488.80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$1,955.20</w:t>
            </w:r>
          </w:p>
        </w:tc>
      </w:tr>
      <w:tr>
        <w:trPr>
          <w:cantSplit/>
        </w:trPr>
        <w:tc>
          <w:tcPr>
            <w:tcW w:type="dxa" w:w="1786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AC-LP-0402</w:t>
            </w:r>
          </w:p>
        </w:tc>
        <w:tc>
          <w:tcPr>
            <w:tcW w:type="dxa" w:w="1944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Dawn Brown</w:t>
            </w:r>
          </w:p>
        </w:tc>
        <w:tc>
          <w:tcPr>
            <w:tcW w:type="dxa" w:w="1037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left"/>
            </w:pPr>
            <w:r>
              <w:rPr>
                <w:sz w:val="15"/>
              </w:rPr>
              <w:t>LP-0402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$1,154.40</w:t>
            </w:r>
          </w:p>
        </w:tc>
        <w:tc>
          <w:tcPr>
            <w:tcW w:type="dxa" w:w="1512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$384.80</w:t>
            </w:r>
          </w:p>
        </w:tc>
        <w:tc>
          <w:tcPr>
            <w:tcW w:type="dxa" w:w="1613"/>
            <w:tcMar>
              <w:top w:w="42" w:type="dxa"/>
              <w:start w:w="42" w:type="dxa"/>
              <w:bottom w:w="42" w:type="dxa"/>
              <w:end w:w="42" w:type="dxa"/>
            </w:tcMar>
            <w:vAlign w:val="center"/>
          </w:tcPr>
          <w:p>
            <w:pPr>
              <w:jc w:val="right"/>
            </w:pPr>
            <w:r>
              <w:rPr>
                <w:sz w:val="15"/>
              </w:rPr>
              <w:t>$1,539.20</w:t>
            </w:r>
          </w:p>
        </w:tc>
      </w:tr>
    </w:tbl>
    <w:p>
      <w:pPr>
        <w:pStyle w:val="SourceNote"/>
      </w:pPr>
      <w:r>
        <w:t>Arithmetic: overdue = $13,166.40 total bucket balance - $2,932.80 current = $10,233.60; 91+ = $2,932.80 (91-120) + $1,435.20 (120+) = $4,368.00.</w:t>
      </w:r>
    </w:p>
    <w:p>
      <w:pPr>
        <w:pStyle w:val="SourceNote"/>
      </w:pPr>
      <w:r>
        <w:t>Sources: ar_aging_2026-07-31.xlsx, AR_Aging rows 23, 68, 113, 116, 147 and 158; status confirmed in slip_inventory_2026-08.csv. Billing basis: tariff_resolution_2019-14.pdf sections 1 definition 4, 2.4 and 7.3; rates: resolution_2022-06.pdf sections 1.1-1.2 and 2.1.</w:t>
      </w:r>
    </w:p>
    <w:p>
      <w:r>
        <w:br w:type="page"/>
      </w:r>
    </w:p>
    <w:p>
      <w:pPr>
        <w:pStyle w:val="Heading1"/>
      </w:pPr>
      <w:r>
        <w:t>Queue decisions</w:t>
      </w:r>
    </w:p>
    <w:p>
      <w:r>
        <w:rPr>
          <w:b/>
        </w:rPr>
        <w:t xml:space="preserve">Six in-period targeted skips should not be relied on until the exact contemporaneous record is produced. </w:t>
      </w:r>
      <w:r>
        <w:t>skip_events_2022_2026.csv contains five appended events whose offer IDs do not exist in offer_events_2022_2026.csv; every supplied PDF identifies a different slip from its same-date event. A second WL-03390 event, SKP-2024-0220, has an offer event but no same-date supplied PDF and the register calls an insurance declaration support for a declined-prior-offer reason, which Standing Order 15-3 section 3.3 instead requires to reference the prior offer by date and slip.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160"/>
        <w:gridCol w:w="3816"/>
        <w:gridCol w:w="2520"/>
      </w:tblGrid>
      <w:tr>
        <w:trPr>
          <w:cantSplit/>
        </w:trPr>
        <w:tc>
          <w:tcPr>
            <w:tcW w:type="dxa" w:w="2613"/>
            <w:shd w:fill="1F6D6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  <w:sz w:val="15"/>
              </w:rPr>
              <w:t>Applicant</w:t>
            </w:r>
          </w:p>
        </w:tc>
        <w:tc>
          <w:tcPr>
            <w:tcW w:type="dxa" w:w="2613"/>
            <w:shd w:fill="1F6D6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  <w:sz w:val="15"/>
              </w:rPr>
              <w:t>Skip date</w:t>
            </w:r>
          </w:p>
        </w:tc>
        <w:tc>
          <w:tcPr>
            <w:tcW w:type="dxa" w:w="2613"/>
            <w:shd w:fill="1F6D6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  <w:sz w:val="15"/>
              </w:rPr>
              <w:t>Primary defect</w:t>
            </w:r>
          </w:p>
        </w:tc>
        <w:tc>
          <w:tcPr>
            <w:tcW w:type="dxa" w:w="2613"/>
            <w:shd w:fill="1F6D62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r>
              <w:rPr>
                <w:b/>
                <w:color w:val="FFFFFF"/>
                <w:sz w:val="15"/>
              </w:rPr>
              <w:t>Current register status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WL-02618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2023-05-02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Missing offer; cover only; PDF/event slip mismatch; skip predates application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RETAINER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WL-03044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2024-02-20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Missing offer; cover only; PDF/event slip mismatch; skip predates application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ACTIVE_WAITLIST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WL-02877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2024-03-19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Missing offer; complete PDF supports a different slip; skip predates application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ACTIVE_WAITLIST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WL-03390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2024-06-08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Offer exists; no same-date supplied file; proof type does not establish prior offer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RETAINER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WL-03390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2024-11-05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Missing offer; cover only; PDF/event slip mismatch; skip predates application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RETAINER</w:t>
            </w:r>
          </w:p>
        </w:tc>
      </w:tr>
      <w:tr>
        <w:trPr>
          <w:cantSplit/>
        </w:trPr>
        <w:tc>
          <w:tcPr>
            <w:tcW w:type="dxa" w:w="180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WL-03102</w:t>
            </w:r>
          </w:p>
        </w:tc>
        <w:tc>
          <w:tcPr>
            <w:tcW w:type="dxa" w:w="216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2025-09-09</w:t>
            </w:r>
          </w:p>
        </w:tc>
        <w:tc>
          <w:tcPr>
            <w:tcW w:type="dxa" w:w="3816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Missing offer; complete PDF supports a different slip/basin</w:t>
            </w:r>
          </w:p>
        </w:tc>
        <w:tc>
          <w:tcPr>
            <w:tcW w:type="dxa" w:w="2520"/>
            <w:tcMar>
              <w:top w:w="36" w:type="dxa"/>
              <w:start w:w="40" w:type="dxa"/>
              <w:bottom w:w="36" w:type="dxa"/>
              <w:end w:w="40" w:type="dxa"/>
            </w:tcMar>
            <w:vAlign w:val="center"/>
          </w:tcPr>
          <w:p>
            <w:r>
              <w:rPr>
                <w:sz w:val="14"/>
              </w:rPr>
              <w:t>ACTIVE_WAITLIST</w:t>
            </w:r>
          </w:p>
        </w:tc>
      </w:tr>
    </w:tbl>
    <w:p>
      <w:pPr>
        <w:pStyle w:val="SourceNote"/>
      </w:pPr>
      <w:r>
        <w:t>Standing Order 15-3 sections 3.2-3.3 makes the same-day supporting record mandatory and says a cover sheet is insufficient. appeal_2018-3_decision.pdf, sections III-A and IV-A, puts the burden on the District and rejects later cures; section V preserves completed assignments and uses prospective first-offer relief. SKP-2022-0407 is a similar historical exception but falls before the requested January 1, 2023 start.</w:t>
      </w:r>
    </w:p>
    <w:p>
      <w:pPr>
        <w:pStyle w:val="Heading1"/>
      </w:pPr>
      <w:r>
        <w:t>Length-amendment controls</w:t>
      </w:r>
    </w:p>
    <w:p>
      <w:r>
        <w:rPr>
          <w:b/>
        </w:rPr>
        <w:t xml:space="preserve">The amendment log contains 200 post-adoption LOA changes through July 31, 2026: </w:t>
      </w:r>
      <w:r>
        <w:t>109 cite an MC number, 79 cite a yard haul-out, and 12 cite no source. The 12 no-source amendments have no downstream skip through the cutoff, but Resolution 2022-06 sections 4.3 and 6.1-6.2 still prohibit their use until compliant support is filed. The packet does not contain the underlying document for 187 reference-only entries, so their existence, content and signature cannot be confirmed from the supplied evidence.</w:t>
      </w:r>
    </w:p>
    <w:p>
      <w:r>
        <w:rPr>
          <w:b/>
        </w:rPr>
        <w:t xml:space="preserve">The two supplied certificates do not cure the control gap. </w:t>
      </w:r>
      <w:r>
        <w:t>2024-09-03_measurement_certificate_WL-02401.pdf matches amendment AMD-001288 and its 31.7-foot value, but no mark appears on the measurer signature line. 2024-06-03_measurement_certificate_WL-01893.pdf is also unmarked and is a 2024 check-in record, not the haul-out sheet cited by 2022 amendment AMD-000287. applicant_register_2026-08.csv shows WL-01893 at 36.3 feet even though the certificate says 31.4 and the logged amendment says 25.8; WL-02401 LOA matches 31.7, but its register beam is 10.9 against 10.8 in both certificate and amendment AMD-001289. No later amendment explains either conflict, and neither applicant has a downstream skip event in the supplied register.</w:t>
      </w:r>
    </w:p>
    <w:p>
      <w:pPr>
        <w:pStyle w:val="Heading1"/>
      </w:pPr>
      <w:r>
        <w:t>Recommended Board directions</w:t>
      </w:r>
    </w:p>
    <w:p>
      <w:pPr>
        <w:pStyle w:val="ListNumber"/>
        <w:spacing w:after="30"/>
      </w:pPr>
      <w:r>
        <w:t>Authorize collection of $10,233.60 overdue from the six named occupied accounts; preserve the separate $2,932.80 current bucket.</w:t>
      </w:r>
    </w:p>
    <w:p>
      <w:pPr>
        <w:pStyle w:val="ListNumber"/>
        <w:spacing w:after="30"/>
      </w:pPr>
      <w:r>
        <w:t>Direct Finance to post and validate $120,158.25 in missing August base moorage for 317 occupied Gullwing and Salmonberry slips, then follow normal due-date and collection procedures.</w:t>
      </w:r>
    </w:p>
    <w:p>
      <w:pPr>
        <w:pStyle w:val="ListNumber"/>
        <w:spacing w:after="30"/>
      </w:pPr>
      <w:r>
        <w:t>Direct the Harbormaster to retrieve exact same-date records for the six in-period queue exceptions. If none exists, void the skip and grant prospective first-offer relief without disturbing completed assignments.</w:t>
      </w:r>
    </w:p>
    <w:p>
      <w:pPr>
        <w:pStyle w:val="ListNumber"/>
        <w:spacing w:after="30"/>
      </w:pPr>
      <w:r>
        <w:t>Freeze use of the 12 no-source LOA amendments and the unsigned WL-02401 amendment support; complete a file inspection of the 187 reference-only entries and reconcile the two current-register conflicts.</w:t>
      </w:r>
    </w:p>
    <w:p>
      <w:pPr>
        <w:pStyle w:val="SourceNote"/>
      </w:pPr>
      <w:r>
        <w:t>Workbook: chaldale_moorage_audit_2026-08.xlsx. Each total above is recomputed there by formula from the named source sheets; the Sources &amp; Rules tab records the governing sections and the basis used.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49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B7785"/>
        <w:sz w:val="15"/>
      </w:rPr>
      <w:t xml:space="preserve">Confidential Board work paper |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912"/>
      <w:gridCol w:w="3528"/>
    </w:tblGrid>
    <w:tr>
      <w:tc>
        <w:tcPr>
          <w:tcW w:type="dxa" w:w="5220"/>
          <w:shd w:fill="17324D"/>
          <w:tcMar>
            <w:top w:w="55" w:type="dxa"/>
            <w:start w:w="90" w:type="dxa"/>
            <w:bottom w:w="55" w:type="dxa"/>
            <w:end w:w="90" w:type="dxa"/>
          </w:tcMar>
        </w:tcPr>
        <w:p>
          <w:pPr>
            <w:jc w:val="left"/>
          </w:pPr>
          <w:r>
            <w:rPr>
              <w:rFonts w:ascii="Liberation Sans" w:hAnsi="Liberation Sans"/>
              <w:b/>
              <w:color w:val="FFFFFF"/>
              <w:sz w:val="16"/>
            </w:rPr>
            <w:t>CHALDALE HARBOR DISTRICT</w:t>
          </w:r>
        </w:p>
      </w:tc>
      <w:tc>
        <w:tcPr>
          <w:tcW w:type="dxa" w:w="5220"/>
          <w:shd w:fill="17324D"/>
          <w:tcMar>
            <w:top w:w="55" w:type="dxa"/>
            <w:start w:w="90" w:type="dxa"/>
            <w:bottom w:w="55" w:type="dxa"/>
            <w:end w:w="90" w:type="dxa"/>
          </w:tcMar>
        </w:tcPr>
        <w:p>
          <w:pPr>
            <w:jc w:val="right"/>
          </w:pPr>
          <w:r>
            <w:rPr>
              <w:rFonts w:ascii="Liberation Sans" w:hAnsi="Liberation Sans"/>
              <w:b/>
              <w:color w:val="FFFFFF"/>
              <w:sz w:val="16"/>
            </w:rPr>
            <w:t>BOARD DECISION MEMO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6D6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2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40"/>
    </w:pPr>
    <w:rPr>
      <w:rFonts w:ascii="Liberation Sans" w:hAnsi="Liberation Sans" w:eastAsia="Liberation Sans"/>
      <w:i/>
      <w:color w:val="6B7785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Chaldale Moorage Board Audit Memo</dc:title>
  <dc:subject>Receivables, billing reconciliation, queue exceptions, and LOA amendment controls as of August 1, 2026</dc:subject>
  <dc:creator>Chaldale Harbor Marina Counter Clerk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