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Moorage Board Memo - Audit Findings</w:t>
      </w:r>
    </w:p>
    <w:p>
      <w:pPr>
        <w:pStyle w:val="Heading1"/>
      </w:pPr>
      <w:r>
        <w:t>Summary of Findings</w:t>
      </w:r>
    </w:p>
    <w:p>
      <w:r>
        <w:t>As requested, an audit was conducted on the moorage operations covering the period up to August 2026. The review encompassed queue exceptions, billing reconciliations, and aging report analysis.</w:t>
      </w:r>
    </w:p>
    <w:p>
      <w:pPr>
        <w:pStyle w:val="Heading2"/>
      </w:pPr>
      <w:r>
        <w:t>Queue Exceptions</w:t>
      </w:r>
    </w:p>
    <w:p>
      <w:r>
        <w:t>Upon review of skips from January 1, 2023, to July 31, 2026, three skips lacked contemporaneous proof, having only a cover sheet (violating Standing Order 15-3 s.3.2-3.3):</w:t>
      </w:r>
    </w:p>
    <w:p>
      <w:r>
        <w:t>• WL-02618: Skip SKP-2023-0408, Offer OFR-2023-1487</w:t>
      </w:r>
    </w:p>
    <w:p>
      <w:r>
        <w:t>• WL-03044: Skip SKP-2024-0409, Offer OFR-2024-1487</w:t>
      </w:r>
    </w:p>
    <w:p>
      <w:r>
        <w:t>• WL-03390: Skip SKP-2024-0410, Offer OFR-2024-1487</w:t>
      </w:r>
    </w:p>
    <w:p>
      <w:r>
        <w:t>Furthermore, regarding amendments after August 1, 2022, applicant WL-01893 was found to have a contradictory length amendment (from 2022) compared to their 2024 measurement certificate. Applicant WL-02401 and skip WL-03102 were properly supported.</w:t>
      </w:r>
    </w:p>
    <w:p>
      <w:pPr>
        <w:pStyle w:val="Heading2"/>
      </w:pPr>
      <w:r>
        <w:t>Billing Reconciliations</w:t>
      </w:r>
    </w:p>
    <w:p>
      <w:r>
        <w:t>A reconciliation was performed between the expected monthly billings (based on check-in LOA and post-adoption rates of $10.40 for covered and $7.55 for open slips) and the actual billed amounts for occupied slips. Significant variances were found, largely due to accounts being billed based on slip capacity (e.g., 40 ft) rather than the actual rounded-up vessel LOA as stipulated in the Tariff Resolution. The full breakdown, calculated dynamically via formulas, is provided in the accompanying Excel workbook.</w:t>
      </w:r>
    </w:p>
    <w:p>
      <w:pPr>
        <w:pStyle w:val="Heading2"/>
      </w:pPr>
      <w:r>
        <w:t>Accounts Receivable - Aging</w:t>
      </w:r>
    </w:p>
    <w:p>
      <w:r>
        <w:t>Occupied slip accounts with balances in the 91-120 and 120+ days buckets were identified. The total delinquent balance for these active accounts was computed using formulas in the attached report, emphasizing accounts requiring immediate Board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