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Moorage Audit Memo</w:t>
      </w:r>
    </w:p>
    <w:p>
      <w:r>
        <w:t>Date: August 1, 2026</w:t>
      </w:r>
    </w:p>
    <w:p>
      <w:r>
        <w:t>To: Board of Harbor Commissioners, Chaldale Harbor District</w:t>
      </w:r>
    </w:p>
    <w:p>
      <w:r>
        <w:t>From: Moorage Audit Team</w:t>
      </w:r>
    </w:p>
    <w:p>
      <w:r>
        <w:t>Subject: Audit Findings for Skips, Amendments, and Billings</w:t>
      </w:r>
    </w:p>
    <w:p>
      <w:pPr>
        <w:pStyle w:val="Heading1"/>
      </w:pPr>
      <w:r>
        <w:t>1. Executive Summary</w:t>
      </w:r>
    </w:p>
    <w:p>
      <w:r>
        <w:t>In accordance with the Board's request, an audit of the moorage waiting list administration, slip billing practices, and accounts receivable aging has been completed as of August 1, 2026. The audit focused on the verification of skip events, the validation of length amendments, the reconciliation of slip billings against post-adoption rates, and the identification of delinquent accounts.</w:t>
      </w:r>
    </w:p>
    <w:p>
      <w:pPr>
        <w:pStyle w:val="Heading1"/>
      </w:pPr>
      <w:r>
        <w:t>2. Queue Exceptions</w:t>
      </w:r>
    </w:p>
    <w:p>
      <w:r>
        <w:t>A review of skip events from January 1, 2023, to July 31, 2026, was conducted to verify contemporaneous proof as required by Standing Order 15-3 s.3.2-3.3. Five exceptions were identified where the justification PDFs either did not match the slip recorded in the database, or lacked the required supporting documentation (e.g., WL-02618, WL-03044, WL-03390 only had a cover sheet).</w:t>
      </w:r>
    </w:p>
    <w:p>
      <w:r>
        <w:t>Furthermore, length amendments entered after August 1, 2022 (post-adoption length) were checked against Resolution 2022-06 s.4.3. One specific applicant (WL-03102) was skipped correctly, but others showed discrepancies.</w:t>
      </w:r>
    </w:p>
    <w:p>
      <w:pPr>
        <w:pStyle w:val="Heading1"/>
      </w:pPr>
      <w:r>
        <w:t>3. Billing Reconciliations</w:t>
      </w:r>
    </w:p>
    <w:p>
      <w:r>
        <w:t>We reconciled the active slip billings to the post-adoption rates (effective August 1, 2022) using the check-in LOA from the slip inventory. Billable length was determined as the greater of the rounded check-in LOA or the slip size (per Tariff Resolution 2019-14). The expected monthly moorage was compared against actual billed amounts.</w:t>
      </w:r>
    </w:p>
    <w:p>
      <w:r>
        <w:t>We found one under-billed slip: GW-0502 (Gullwing). The slip has a 60-foot length, which at the open basin rate of $7.55/ft-mo should bill $453.00/month. However, it is being billed $426.00/month, resulting in a monthly variance of $27.00.</w:t>
      </w:r>
    </w:p>
    <w:p>
      <w:r>
        <w:br w:type="page"/>
      </w:r>
    </w:p>
    <w:p>
      <w:pPr>
        <w:pStyle w:val="Heading1"/>
      </w:pPr>
      <w:r>
        <w:t>4. Accounts Receivable Aging</w:t>
      </w:r>
    </w:p>
    <w:p>
      <w:r>
        <w:t>An analysis of the Accounts Receivable Aging report as of July 31, 2026, was conducted to identify delinquent Active/Occupied accounts with balances exceeding 90 days (91-120 and 120+ buckets).</w:t>
      </w:r>
    </w:p>
    <w:p>
      <w:r>
        <w:t>All six identified delinquent accounts are located in the Ledgport basin. Their occupancy status was confirmed against the slip inventory. The total delinquent balance for these long-overdue accounts amounts to $4,368.00.</w:t>
      </w:r>
    </w:p>
    <w:p>
      <w:r>
        <w:t>These accounts (AC-LP-0122, AC-LP-0402, AC-LP-0602, AC-LP-0605, AC-LP-0713, AC-LP-0801) require immediate attention for collection, as they continue to occupy active slips while maintaining significant arrears.</w:t>
      </w:r>
    </w:p>
    <w:p>
      <w:pPr>
        <w:pStyle w:val="Heading1"/>
      </w:pPr>
      <w:r>
        <w:t>5. Recommendations</w:t>
      </w:r>
    </w:p>
    <w:p>
      <w:r>
        <w:t>1. Enforce strict adherence to Standing Order 15-3 for all future skip justifications, ensuring all supporting documents are attached and accurately reflect the database records.</w:t>
        <w:br/>
        <w:t>2. Investigate the billing discrepancy for slip GW-0502 and adjust the monthly moorage charge to align with the post-adoption rate.</w:t>
        <w:br/>
        <w:t>3. Initiate collection proceedings or eviction notices for the six delinquent Ledgport accounts to recover the $4,368.00 in arrears.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