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Board of Harbor Commissioners</w:t>
        <w:br/>
      </w:r>
      <w:r>
        <w:rPr>
          <w:b/>
        </w:rPr>
        <w:t xml:space="preserve">FROM: </w:t>
      </w:r>
      <w:r>
        <w:t>Counter Clerk, Chaldale Harbor Marina</w:t>
        <w:br/>
      </w:r>
      <w:r>
        <w:rPr>
          <w:b/>
        </w:rPr>
        <w:t xml:space="preserve">DATE: </w:t>
      </w:r>
      <w:r>
        <w:t>August 1, 2026</w:t>
        <w:br/>
      </w:r>
      <w:r>
        <w:rPr>
          <w:b/>
        </w:rPr>
        <w:t xml:space="preserve">SUBJECT: </w:t>
      </w:r>
      <w:r>
        <w:t>Moorage Audit - Skips, Amendments, Billing, and Receivables</w:t>
      </w:r>
    </w:p>
    <w:p>
      <w:pPr>
        <w:pStyle w:val="Heading1"/>
      </w:pPr>
      <w:r>
        <w:t>1. Executive Summary</w:t>
      </w:r>
    </w:p>
    <w:p>
      <w:r>
        <w:t>This memorandum presents the findings of the moorage audit, detailing queue exceptions, billing reconciliations, and delinquent accounts. The purpose of this audit is to identify uncollected revenues, ensure compliance with district resolutions (specifically Tariff Resolution 2019-14 and Resolution 2022-06), and recommend collection actions.</w:t>
      </w:r>
    </w:p>
    <w:p>
      <w:pPr>
        <w:pStyle w:val="Heading1"/>
      </w:pPr>
      <w:r>
        <w:t>2. Queue Exceptions</w:t>
      </w:r>
    </w:p>
    <w:p>
      <w:r>
        <w:t>Our review of skip events from January 1, 2023, to July 31, 2026, revealed three instances where applicants were skipped without the required contemporaneous proof (in violation of Standing Order 15-3 s.3.2-3.3, which states a cover sheet is not sufficient): WL-02618 (2023-05-02), WL-03044 (2024-02-20), and WL-03390 (2024-11-05).</w:t>
      </w:r>
    </w:p>
    <w:p>
      <w:r>
        <w:t>Furthermore, we evaluated length amendments made after August 1, 2022, per Resolution 2022-06 s.4.3. Two significant exceptions were identified:</w:t>
      </w:r>
    </w:p>
    <w:p>
      <w:r>
        <w:t>• Applicant WL-01893 had their LOA amended to 25.8 feet on 2022-08-09, allegedly supported by a Foldview Marine Services haul-out sheet. However, a check-in measurement on 2024-06-03 (MC-2024-0062) recorded their LOA as 31.4 feet, contradicting the earlier amendment.</w:t>
      </w:r>
    </w:p>
    <w:p>
      <w:r>
        <w:t>• Applicant WL-03102 amended their LOA down to 35.8 feet on 2025-07-01 and was subsequently skipped on 2025-09-09. While the skip justification references a haul-out measurement sheet dated 2025-06-29, the document was not attached to the skip justification file.</w:t>
      </w:r>
    </w:p>
    <w:p>
      <w:pPr>
        <w:pStyle w:val="Heading1"/>
      </w:pPr>
      <w:r>
        <w:t>3. Billing Reconciliations</w:t>
      </w:r>
    </w:p>
    <w:p>
      <w:r>
        <w:t>An analysis was conducted to reconcile active slip billings to post-adoption rates (effective August 1, 2022) using the check-in LOA from the certificates to establish expected monthly billings for occupied slips.</w:t>
      </w:r>
    </w:p>
    <w:p>
      <w:r>
        <w:t>Expected billings were calculated based on $10.40 per foot-month for covered slips and $7.55 per foot-month for open slips, with length rounded up to the nearest foot. This was compared against the most recent actual billed amounts to identify monthly variances. Details of all discrepancies, including specific dollar variances, are provided in the attached 'Billing Reconciliations' worksheet in the audit spreadsheet.</w:t>
      </w:r>
    </w:p>
    <w:p>
      <w:pPr>
        <w:pStyle w:val="Heading1"/>
      </w:pPr>
      <w:r>
        <w:t>4. Accounts Receivable Aging</w:t>
      </w:r>
    </w:p>
    <w:p>
      <w:r>
        <w:t>To assist the Board in collection efforts, we reviewed the Accounts Receivable Aging report as of July 31, 2026. We identified all accounts that are marked 'Active/Occupied' (verified via the slip inventory) and have balances in the 91-120 days and 120+ days buckets. The total delinquent balances for these specific accounts have been calculated and summarized.</w:t>
      </w:r>
    </w:p>
    <w:p>
      <w:r>
        <w:t>The detailed list of these delinquent accounts and their respective balances is available in the 'Aging Report' tab of the provided Excel workbook. The Board should prioritize these accounts for collection actions, as they represent active tenants who are severely past due on their moorage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