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t>Moorage receivables and queue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792"/>
            <w:shd w:fill="F3F6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5"/>
              </w:rPr>
              <w:t>TO</w:t>
            </w:r>
          </w:p>
        </w:tc>
        <w:tc>
          <w:tcPr>
            <w:tcW w:type="dxa" w:w="453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5"/>
              </w:rPr>
              <w:t>Board of Harbor Commissioners</w:t>
            </w:r>
          </w:p>
        </w:tc>
        <w:tc>
          <w:tcPr>
            <w:tcW w:type="dxa" w:w="936"/>
            <w:shd w:fill="F3F6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5"/>
              </w:rPr>
              <w:t>DATE</w:t>
            </w:r>
          </w:p>
        </w:tc>
        <w:tc>
          <w:tcPr>
            <w:tcW w:type="dxa" w:w="39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5"/>
              </w:rPr>
              <w:t>1 August 2026</w:t>
            </w:r>
          </w:p>
        </w:tc>
      </w:tr>
      <w:tr>
        <w:tc>
          <w:tcPr>
            <w:tcW w:type="dxa" w:w="792"/>
            <w:shd w:fill="DDEFE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5"/>
              </w:rPr>
              <w:t>FROM</w:t>
            </w:r>
          </w:p>
        </w:tc>
        <w:tc>
          <w:tcPr>
            <w:tcW w:type="dxa" w:w="453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5"/>
              </w:rPr>
              <w:t>Counter clerk audit support</w:t>
            </w:r>
          </w:p>
        </w:tc>
        <w:tc>
          <w:tcPr>
            <w:tcW w:type="dxa" w:w="936"/>
            <w:shd w:fill="DDEFE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5"/>
              </w:rPr>
              <w:t>SUBJECT</w:t>
            </w:r>
          </w:p>
        </w:tc>
        <w:tc>
          <w:tcPr>
            <w:tcW w:type="dxa" w:w="39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5"/>
              </w:rPr>
              <w:t>Collection priorities and queue controls</w:t>
            </w:r>
          </w:p>
        </w:tc>
      </w:tr>
    </w:tbl>
    <w:p>
      <w:pPr>
        <w:pStyle w:val="Heading1"/>
      </w:pPr>
      <w:r>
        <w:t>Decision</w:t>
      </w:r>
    </w:p>
    <w:p>
      <w:r>
        <w:rPr>
          <w:b/>
        </w:rPr>
        <w:t xml:space="preserve">Direct collection work to six occupied accounts, but require a ledger reconciliation before final demand amounts are approved. </w:t>
      </w:r>
      <w:r>
        <w:t>The source aging report identifies $4,368.00 in the requested 91-120 and 120+ components and $13,166.40 in full balances for those six accounts. The transaction export supports only $9,030.35 of outstanding pre-tax monthly moorage for the same accounts at 31 July. Because the sources disagree, the records do not establish a final collectible total. The complete AR subledger, including credits, reversals, write-offs and cash applications, would settle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656"/>
            <w:shd w:fill="F3F6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4"/>
              </w:rPr>
              <w:t>6</w:t>
            </w:r>
          </w:p>
        </w:tc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4"/>
              </w:rPr>
              <w:t>occupied high-aging accounts</w:t>
            </w:r>
          </w:p>
        </w:tc>
        <w:tc>
          <w:tcPr>
            <w:tcW w:type="dxa" w:w="1944"/>
            <w:shd w:fill="F3F6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4"/>
              </w:rPr>
              <w:t>$120,158.25</w:t>
            </w:r>
          </w:p>
        </w:tc>
        <w:tc>
          <w:tcPr>
            <w:tcW w:type="dxa" w:w="352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4"/>
              </w:rPr>
              <w:t>apparent August base shortfall</w:t>
            </w:r>
          </w:p>
        </w:tc>
      </w:tr>
      <w:tr>
        <w:tc>
          <w:tcPr>
            <w:tcW w:type="dxa" w:w="1656"/>
            <w:shd w:fill="F8F0D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4"/>
              </w:rPr>
              <w:t>$13,166.40</w:t>
            </w:r>
          </w:p>
        </w:tc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4"/>
              </w:rPr>
              <w:t>source AR full balances</w:t>
            </w:r>
          </w:p>
        </w:tc>
        <w:tc>
          <w:tcPr>
            <w:tcW w:type="dxa" w:w="1944"/>
            <w:shd w:fill="F8F0D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4"/>
              </w:rPr>
              <w:t>$9,030.35</w:t>
            </w:r>
          </w:p>
        </w:tc>
        <w:tc>
          <w:tcPr>
            <w:tcW w:type="dxa" w:w="352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4"/>
              </w:rPr>
              <w:t>transaction-derived outstanding</w:t>
            </w:r>
          </w:p>
        </w:tc>
      </w:tr>
    </w:tbl>
    <w:p>
      <w:pPr>
        <w:pStyle w:val="Heading1"/>
      </w:pPr>
      <w:r>
        <w:t>Collection population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15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Account</w:t>
            </w:r>
          </w:p>
        </w:tc>
        <w:tc>
          <w:tcPr>
            <w:tcW w:type="dxa" w:w="175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Tenant</w:t>
            </w:r>
          </w:p>
        </w:tc>
        <w:tc>
          <w:tcPr>
            <w:tcW w:type="dxa" w:w="15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Slip/status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91-120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120+</w:t>
            </w:r>
          </w:p>
        </w:tc>
        <w:tc>
          <w:tcPr>
            <w:tcW w:type="dxa" w:w="118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AR total</w:t>
            </w:r>
          </w:p>
        </w:tc>
        <w:tc>
          <w:tcPr>
            <w:tcW w:type="dxa" w:w="132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Txn-derived</w:t>
            </w:r>
          </w:p>
        </w:tc>
      </w:tr>
      <w:tr>
        <w:tc>
          <w:tcPr>
            <w:tcW w:type="dxa" w:w="15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AC-LP-0122</w:t>
            </w:r>
          </w:p>
        </w:tc>
        <w:tc>
          <w:tcPr>
            <w:tcW w:type="dxa" w:w="175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Paula Arroyo</w:t>
            </w:r>
          </w:p>
        </w:tc>
        <w:tc>
          <w:tcPr>
            <w:tcW w:type="dxa" w:w="15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LP-0122 / OCCUPIED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$509.60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$0.00</w:t>
            </w:r>
          </w:p>
        </w:tc>
        <w:tc>
          <w:tcPr>
            <w:tcW w:type="dxa" w:w="118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$2,038.40</w:t>
            </w:r>
          </w:p>
        </w:tc>
        <w:tc>
          <w:tcPr>
            <w:tcW w:type="dxa" w:w="132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$509.60</w:t>
            </w:r>
          </w:p>
        </w:tc>
      </w:tr>
      <w:tr>
        <w:tc>
          <w:tcPr>
            <w:tcW w:type="dxa" w:w="15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AC-LP-0402</w:t>
            </w:r>
          </w:p>
        </w:tc>
        <w:tc>
          <w:tcPr>
            <w:tcW w:type="dxa" w:w="175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Dawn Brown</w:t>
            </w:r>
          </w:p>
        </w:tc>
        <w:tc>
          <w:tcPr>
            <w:tcW w:type="dxa" w:w="15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LP-0402 / OCCUPIED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$384.80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$0.00</w:t>
            </w:r>
          </w:p>
        </w:tc>
        <w:tc>
          <w:tcPr>
            <w:tcW w:type="dxa" w:w="118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$1,539.20</w:t>
            </w:r>
          </w:p>
        </w:tc>
        <w:tc>
          <w:tcPr>
            <w:tcW w:type="dxa" w:w="132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$769.60</w:t>
            </w:r>
          </w:p>
        </w:tc>
      </w:tr>
      <w:tr>
        <w:tc>
          <w:tcPr>
            <w:tcW w:type="dxa" w:w="15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AC-LP-0602</w:t>
            </w:r>
          </w:p>
        </w:tc>
        <w:tc>
          <w:tcPr>
            <w:tcW w:type="dxa" w:w="175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Lee Maldonado</w:t>
            </w:r>
          </w:p>
        </w:tc>
        <w:tc>
          <w:tcPr>
            <w:tcW w:type="dxa" w:w="15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LP-0602 / OCCUPIED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$603.20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$603.20</w:t>
            </w:r>
          </w:p>
        </w:tc>
        <w:tc>
          <w:tcPr>
            <w:tcW w:type="dxa" w:w="118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$3,016.00</w:t>
            </w:r>
          </w:p>
        </w:tc>
        <w:tc>
          <w:tcPr>
            <w:tcW w:type="dxa" w:w="132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$1,809.60</w:t>
            </w:r>
          </w:p>
        </w:tc>
      </w:tr>
      <w:tr>
        <w:tc>
          <w:tcPr>
            <w:tcW w:type="dxa" w:w="15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AC-LP-0605</w:t>
            </w:r>
          </w:p>
        </w:tc>
        <w:tc>
          <w:tcPr>
            <w:tcW w:type="dxa" w:w="175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Andrew Anderson</w:t>
            </w:r>
          </w:p>
        </w:tc>
        <w:tc>
          <w:tcPr>
            <w:tcW w:type="dxa" w:w="15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LP-0605 / OCCUPIED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$530.40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$0.00</w:t>
            </w:r>
          </w:p>
        </w:tc>
        <w:tc>
          <w:tcPr>
            <w:tcW w:type="dxa" w:w="118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$2,121.60</w:t>
            </w:r>
          </w:p>
        </w:tc>
        <w:tc>
          <w:tcPr>
            <w:tcW w:type="dxa" w:w="132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$3,154.35</w:t>
            </w:r>
          </w:p>
        </w:tc>
      </w:tr>
      <w:tr>
        <w:tc>
          <w:tcPr>
            <w:tcW w:type="dxa" w:w="15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AC-LP-0713</w:t>
            </w:r>
          </w:p>
        </w:tc>
        <w:tc>
          <w:tcPr>
            <w:tcW w:type="dxa" w:w="175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Stacey Mitchell</w:t>
            </w:r>
          </w:p>
        </w:tc>
        <w:tc>
          <w:tcPr>
            <w:tcW w:type="dxa" w:w="15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LP-0713 / OCCUPIED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$416.00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$832.00</w:t>
            </w:r>
          </w:p>
        </w:tc>
        <w:tc>
          <w:tcPr>
            <w:tcW w:type="dxa" w:w="118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$2,496.00</w:t>
            </w:r>
          </w:p>
        </w:tc>
        <w:tc>
          <w:tcPr>
            <w:tcW w:type="dxa" w:w="132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$832.00</w:t>
            </w:r>
          </w:p>
        </w:tc>
      </w:tr>
      <w:tr>
        <w:tc>
          <w:tcPr>
            <w:tcW w:type="dxa" w:w="15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AC-LP-0801</w:t>
            </w:r>
          </w:p>
        </w:tc>
        <w:tc>
          <w:tcPr>
            <w:tcW w:type="dxa" w:w="175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Allison Nguyen</w:t>
            </w:r>
          </w:p>
        </w:tc>
        <w:tc>
          <w:tcPr>
            <w:tcW w:type="dxa" w:w="15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LP-0801 / OCCUPIED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$488.80</w:t>
            </w:r>
          </w:p>
        </w:tc>
        <w:tc>
          <w:tcPr>
            <w:tcW w:type="dxa" w:w="103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$0.00</w:t>
            </w:r>
          </w:p>
        </w:tc>
        <w:tc>
          <w:tcPr>
            <w:tcW w:type="dxa" w:w="118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$1,955.20</w:t>
            </w:r>
          </w:p>
        </w:tc>
        <w:tc>
          <w:tcPr>
            <w:tcW w:type="dxa" w:w="132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$1,955.20</w:t>
            </w:r>
          </w:p>
        </w:tc>
      </w:tr>
      <w:tr>
        <w:tc>
          <w:tcPr>
            <w:tcW w:type="dxa" w:w="1512"/>
            <w:shd w:fill="DDEFE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3"/>
              </w:rPr>
              <w:t>TOTAL</w:t>
            </w:r>
          </w:p>
        </w:tc>
        <w:tc>
          <w:tcPr>
            <w:tcW w:type="dxa" w:w="1757"/>
            <w:shd w:fill="DDEFE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3"/>
              </w:rPr>
            </w:r>
          </w:p>
        </w:tc>
        <w:tc>
          <w:tcPr>
            <w:tcW w:type="dxa" w:w="1584"/>
            <w:shd w:fill="DDEFE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3"/>
              </w:rPr>
            </w:r>
          </w:p>
        </w:tc>
        <w:tc>
          <w:tcPr>
            <w:tcW w:type="dxa" w:w="1037"/>
            <w:shd w:fill="DDEFE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3"/>
              </w:rPr>
              <w:t>$2,932.80</w:t>
            </w:r>
          </w:p>
        </w:tc>
        <w:tc>
          <w:tcPr>
            <w:tcW w:type="dxa" w:w="1037"/>
            <w:shd w:fill="DDEFE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3"/>
              </w:rPr>
              <w:t>$1,435.20</w:t>
            </w:r>
          </w:p>
        </w:tc>
        <w:tc>
          <w:tcPr>
            <w:tcW w:type="dxa" w:w="1181"/>
            <w:shd w:fill="DDEFE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3"/>
              </w:rPr>
              <w:t>$13,166.40</w:t>
            </w:r>
          </w:p>
        </w:tc>
        <w:tc>
          <w:tcPr>
            <w:tcW w:type="dxa" w:w="1325"/>
            <w:shd w:fill="DDEFE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3"/>
              </w:rPr>
              <w:t>$9,030.35</w:t>
            </w:r>
          </w:p>
        </w:tc>
      </w:tr>
    </w:tbl>
    <w:p>
      <w:pPr>
        <w:pStyle w:val="Heading1"/>
      </w:pPr>
      <w:r>
        <w:t>Billing finding</w:t>
      </w:r>
    </w:p>
    <w:p>
      <w:r>
        <w:rPr>
          <w:b/>
        </w:rPr>
        <w:t xml:space="preserve">The 769 recorded August moorage rows reconcile exactly to the adopted rate and length arithmetic; no billed account has a rate or length variance. </w:t>
      </w:r>
      <w:r>
        <w:t>The August inventory nevertheless has 1,086 occupied slips. The remaining 317 slips - 127 in Gullwing and 190 in Salmonberry - have expected base charges of $49,762.05 and $70,396.20, respectively, but no August moorage transaction. The apparent $120,158.25 omission is not yet a demand amount: confirm that the export is complete and verify each executed agreement, occupancy effective date and supported check-in LOA. GW-0502 is the first reconciliation priority because the transaction file contains January-March 2022 moorage for the same applicant, while the other 316 omitted slips have no moorage transaction in the supplied export.</w:t>
      </w:r>
    </w:p>
    <w:p>
      <w:r>
        <w:rPr>
          <w:b/>
        </w:rPr>
        <w:t xml:space="preserve">Source basis. </w:t>
      </w:r>
      <w:r>
        <w:t>Workbook sheets Aging Report and Billing Reconciliation recompute from ar_aging_2026-07-31.xlsx (AR_Aging rows 3-262), slip_inventory_2026-08.csv (rows 2-1181) and billing_transactions_2022_2026.csv (rows 2-46801). Expected base uses Tariff Resolution 2019-14 s.1.4 and Resolution 2022-06 ss.1.1-1.3: MAX(nominal slip feet, ROUNDUP(check-in LOA,0)) x $10.40 covered or $7.55 open. The source aging Summary exceeds its detail by $17,108.00, and 39 detail rows do not sum to their stated total_due.</w:t>
      </w:r>
    </w:p>
    <w:p>
      <w:r>
        <w:br w:type="page"/>
      </w:r>
    </w:p>
    <w:p>
      <w:pPr>
        <w:pStyle w:val="Title"/>
      </w:pPr>
      <w:r>
        <w:t>Queue integrity and documentary controls</w:t>
      </w:r>
    </w:p>
    <w:p>
      <w:r>
        <w:rPr>
          <w:b/>
        </w:rPr>
        <w:t xml:space="preserve">Governing rule. </w:t>
      </w:r>
      <w:r>
        <w:t>Resolution 2022-06 controls earlier conflicts under s.7.2. Standing Order 15-3 ss.3.2-3.3 requires a contemporaneous cover, reason-specific supporting record and any correspondence; a cover alone is insufficient. Appeal 2018-3, pp.2-3, places the burden on the District, rejects later-created proof and ordinarily preserves a completed good-faith assignment while granting prospective first-offer relief.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1728"/>
            <w:shd w:fill="F3F6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4"/>
              </w:rPr>
              <w:t>309</w:t>
            </w:r>
          </w:p>
        </w:tc>
        <w:tc>
          <w:tcPr>
            <w:tcW w:type="dxa" w:w="1728"/>
            <w:shd w:fill="F3F6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4"/>
              </w:rPr>
              <w:t>124</w:t>
            </w:r>
          </w:p>
        </w:tc>
        <w:tc>
          <w:tcPr>
            <w:tcW w:type="dxa" w:w="1728"/>
            <w:shd w:fill="F3F6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4"/>
              </w:rPr>
              <w:t>19</w:t>
            </w:r>
          </w:p>
        </w:tc>
        <w:tc>
          <w:tcPr>
            <w:tcW w:type="dxa" w:w="1728"/>
            <w:shd w:fill="F3F6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4"/>
              </w:rPr>
              <w:t>5</w:t>
            </w:r>
          </w:p>
        </w:tc>
        <w:tc>
          <w:tcPr>
            <w:tcW w:type="dxa" w:w="2592"/>
            <w:shd w:fill="F3F6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24323D"/>
                <w:sz w:val="14"/>
              </w:rPr>
              <w:t>44 of 53</w:t>
            </w:r>
          </w:p>
        </w:tc>
      </w:tr>
      <w:tr>
        <w:tc>
          <w:tcPr>
            <w:tcW w:type="dxa" w:w="172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4"/>
              </w:rPr>
              <w:t>skips reviewed</w:t>
            </w:r>
          </w:p>
        </w:tc>
        <w:tc>
          <w:tcPr>
            <w:tcW w:type="dxa" w:w="172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4"/>
              </w:rPr>
              <w:t>pre-application</w:t>
            </w:r>
          </w:p>
        </w:tc>
        <w:tc>
          <w:tcPr>
            <w:tcW w:type="dxa" w:w="172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4"/>
              </w:rPr>
              <w:t>no attachment</w:t>
            </w:r>
          </w:p>
        </w:tc>
        <w:tc>
          <w:tcPr>
            <w:tcW w:type="dxa" w:w="172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4"/>
              </w:rPr>
              <w:t>orphan offers</w:t>
            </w:r>
          </w:p>
        </w:tc>
        <w:tc>
          <w:tcPr>
            <w:tcW w:type="dxa" w:w="25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4"/>
              </w:rPr>
              <w:t>prior-decline skips with no predicate</w:t>
            </w:r>
          </w:p>
        </w:tc>
      </w:tr>
    </w:tbl>
    <w:p>
      <w:r>
        <w:rPr>
          <w:b/>
        </w:rPr>
        <w:t xml:space="preserve">These categories overlap and are not additive. </w:t>
      </w:r>
      <w:r>
        <w:t>The current applicant register is orderly as a snapshot, but cannot validate events before an account's application date. The missing day logs, contemporaneous worked-list segments and any account-ID migration history are needed to establish historical rank order.</w:t>
      </w:r>
    </w:p>
    <w:p>
      <w:pPr>
        <w:pStyle w:val="Heading1"/>
      </w:pPr>
      <w:r>
        <w:t>Supplied skip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3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Applicant / event</w:t>
            </w:r>
          </w:p>
        </w:tc>
        <w:tc>
          <w:tcPr>
            <w:tcW w:type="dxa" w:w="51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Evidence comparison</w:t>
            </w:r>
          </w:p>
        </w:tc>
        <w:tc>
          <w:tcPr>
            <w:tcW w:type="dxa" w:w="30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Conclusion</w:t>
            </w:r>
          </w:p>
        </w:tc>
      </w:tr>
      <w:tr>
        <w:tc>
          <w:tcPr>
            <w:tcW w:type="dxa" w:w="213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WL-02618 / 2023-05-02</w:t>
            </w:r>
          </w:p>
        </w:tc>
        <w:tc>
          <w:tcPr>
            <w:tcW w:type="dxa" w:w="51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Cover says EW-0414; log says GW-0610. No support. PDF LOA 27.8 rounds to 28 against logged 32 ft.</w:t>
            </w:r>
          </w:p>
        </w:tc>
        <w:tc>
          <w:tcPr>
            <w:tcW w:type="dxa" w:w="30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Unsupported as logged; event predates application.</w:t>
            </w:r>
          </w:p>
        </w:tc>
      </w:tr>
      <w:tr>
        <w:tc>
          <w:tcPr>
            <w:tcW w:type="dxa" w:w="213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WL-03044 / 2024-02-20</w:t>
            </w:r>
          </w:p>
        </w:tc>
        <w:tc>
          <w:tcPr>
            <w:tcW w:type="dxa" w:w="51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Cover says open EW-0603 and covered-only preference; log says covered VB-0904. No preference sheet.</w:t>
            </w:r>
          </w:p>
        </w:tc>
        <w:tc>
          <w:tcPr>
            <w:tcW w:type="dxa" w:w="30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Unsupported under either vacancy version; predates application.</w:t>
            </w:r>
          </w:p>
        </w:tc>
      </w:tr>
      <w:tr>
        <w:tc>
          <w:tcPr>
            <w:tcW w:type="dxa" w:w="213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WL-02877 / 2024-03-19</w:t>
            </w:r>
          </w:p>
        </w:tc>
        <w:tc>
          <w:tcPr>
            <w:tcW w:type="dxa" w:w="51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Three-page file supports beam mismatch at GW-0702; log records GW-1012 and cites no matching offer.</w:t>
            </w:r>
          </w:p>
        </w:tc>
        <w:tc>
          <w:tcPr>
            <w:tcW w:type="dxa" w:w="30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Developed proof, but for a different event; predates application.</w:t>
            </w:r>
          </w:p>
        </w:tc>
      </w:tr>
      <w:tr>
        <w:tc>
          <w:tcPr>
            <w:tcW w:type="dxa" w:w="213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WL-03390 / 2024-11-05</w:t>
            </w:r>
          </w:p>
        </w:tc>
        <w:tc>
          <w:tcPr>
            <w:tcW w:type="dxa" w:w="51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Cover says VB-0144 and prior OFR-2024-0402; log says SB-0120. Cited prior offer does not exist.</w:t>
            </w:r>
          </w:p>
        </w:tc>
        <w:tc>
          <w:tcPr>
            <w:tcW w:type="dxa" w:w="30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No factual prior-decline predicate; predates application.</w:t>
            </w:r>
          </w:p>
        </w:tc>
      </w:tr>
      <w:tr>
        <w:tc>
          <w:tcPr>
            <w:tcW w:type="dxa" w:w="213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WL-03102 / 2025-09-09</w:t>
            </w:r>
          </w:p>
        </w:tc>
        <w:tc>
          <w:tcPr>
            <w:tcW w:type="dxa" w:w="51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File supports open EW-0620 preference mismatch; log says covered 36-ft LP-0806. 35.8 LOA rounds to 36.</w:t>
            </w:r>
          </w:p>
        </w:tc>
        <w:tc>
          <w:tcPr>
            <w:tcW w:type="dxa" w:w="30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Logged vacancy matches amended length and covered preference; skip fails as logged.</w:t>
            </w:r>
          </w:p>
        </w:tc>
      </w:tr>
    </w:tbl>
    <w:p>
      <w:r>
        <w:rPr>
          <w:i/>
        </w:rPr>
        <w:t xml:space="preserve">WL-02211 is outside the requested skip period, but its one-page cover is also deficient: it names LP-0307 and unpaid retention, while the skip log names GW-0417 and insurance lapse. </w:t>
      </w:r>
      <w:r>
        <w:rPr>
          <w:i/>
        </w:rPr>
        <w:t>Source: all pages of the six WL-* skip justification PDFs, cross-referenced in workbook sheet PDF Evidence to skip_events_2022_2026.csv and offer_events_2022_2026.csv.</w:t>
      </w:r>
    </w:p>
    <w:p>
      <w:pPr>
        <w:pStyle w:val="Heading1"/>
      </w:pPr>
      <w:r>
        <w:t>Length amendments</w:t>
      </w:r>
    </w:p>
    <w:p>
      <w:r>
        <w:rPr>
          <w:b/>
        </w:rPr>
        <w:t xml:space="preserve">From 1 August 2022 through 31 July 2026, the amendment log contains 200 LOA changes: 109 cite measurement certificates, 79 cite haul-out records and 12 cite no source document. </w:t>
      </w:r>
      <w:r>
        <w:t>Only MC-2024-0091 was both supplied and aligned to a logged LOA amendment (WL-02401). MC-2024-0062 was supplied, but no amendment references it and WL-01893's logged and current lengths do not reconcile. Resolution 2022-06 ss.4.3 and 6.2 prohibit using an unsupported entry for an offer, skip, slip class or rate until support is filed. Fifteen amended accounts have a downstream skip before another LOA change; the formula audit identifies two vessel-fit skips where the amended rounded LOA fits the logged slip, plus the separate WL-03102 event conflict.</w:t>
      </w:r>
    </w:p>
    <w:p>
      <w:pPr>
        <w:pStyle w:val="Heading1"/>
      </w:pPr>
      <w:r>
        <w:t>Actions for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50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#</w:t>
            </w:r>
          </w:p>
        </w:tc>
        <w:tc>
          <w:tcPr>
            <w:tcW w:type="dxa" w:w="122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FFFFFF"/>
                <w:sz w:val="13"/>
              </w:rPr>
              <w:t>Direction</w:t>
            </w:r>
          </w:p>
        </w:tc>
      </w:tr>
      <w:tr>
        <w:tc>
          <w:tcPr>
            <w:tcW w:type="dxa" w:w="50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1</w:t>
            </w:r>
          </w:p>
        </w:tc>
        <w:tc>
          <w:tcPr>
            <w:tcW w:type="dxa" w:w="122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Finance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Reconcile the six accounts to the complete AR subledger; issue collection demands only for settled balances.</w:t>
            </w:r>
          </w:p>
        </w:tc>
      </w:tr>
      <w:tr>
        <w:tc>
          <w:tcPr>
            <w:tcW w:type="dxa" w:w="50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2</w:t>
            </w:r>
          </w:p>
        </w:tc>
        <w:tc>
          <w:tcPr>
            <w:tcW w:type="dxa" w:w="122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Billing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Reconstruct the August batch for 317 slips; do not treat the $120,158.25 apparent omission as debt until agreement and measurement evidence is complete.</w:t>
            </w:r>
          </w:p>
        </w:tc>
      </w:tr>
      <w:tr>
        <w:tc>
          <w:tcPr>
            <w:tcW w:type="dxa" w:w="50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3</w:t>
            </w:r>
          </w:p>
        </w:tc>
        <w:tc>
          <w:tcPr>
            <w:tcW w:type="dxa" w:w="122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Queue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Flag the five supplied in-scope PDF cases and the 19 no-attachment events; preserve rank and apply Appeal 2018-3 relief where the contemporaneous record fails.</w:t>
            </w:r>
          </w:p>
        </w:tc>
      </w:tr>
      <w:tr>
        <w:tc>
          <w:tcPr>
            <w:tcW w:type="dxa" w:w="50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4</w:t>
            </w:r>
          </w:p>
        </w:tc>
        <w:tc>
          <w:tcPr>
            <w:tcW w:type="dxa" w:w="122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Amendments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3F6F7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Mark the 12 blank-source LOA amendments unusable under s.6.2 and recover the referenced records for the remaining unverified amendments.</w:t>
            </w:r>
          </w:p>
        </w:tc>
      </w:tr>
      <w:tr>
        <w:tc>
          <w:tcPr>
            <w:tcW w:type="dxa" w:w="50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5</w:t>
            </w:r>
          </w:p>
        </w:tc>
        <w:tc>
          <w:tcPr>
            <w:tcW w:type="dxa" w:w="122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Records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color w:val="24323D"/>
                <w:sz w:val="13"/>
              </w:rPr>
              <w:t>Obtain day logs, worked-list segments, account-ID history and the complete offer sequence to resolve the 124 pre-application events and five orphan offers.</w:t>
            </w:r>
          </w:p>
        </w:tc>
      </w:tr>
    </w:tbl>
    <w:p>
      <w:r>
        <w:rPr>
          <w:b/>
        </w:rPr>
        <w:t xml:space="preserve">Audit file: </w:t>
      </w:r>
      <w:r>
        <w:t>chaldale_moorage_audit_2026-08.xlsx. The Summary, Queue Exceptions, Amendment Audit, Billing Reconciliation and Aging Report sheets contain the formulas, row-level evidence and source citations supporting this memorandum.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49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47580"/>
        <w:sz w:val="13"/>
      </w:rPr>
      <w:t xml:space="preserve">Moorage receivables and queue audit  |  1 August 2026  |  Board working paper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6" w:space="1" w:color="197C7A"/>
      </w:pBdr>
    </w:pPr>
    <w:r>
      <w:rPr>
        <w:rFonts w:ascii="DejaVu Sans" w:hAnsi="DejaVu Sans"/>
        <w:b/>
        <w:color w:val="197C7A"/>
        <w:sz w:val="14"/>
      </w:rPr>
      <w:t>CHALDALE HARBOR DISTRICT  /  BOARD WORKING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5" w:lineRule="auto"/>
    </w:pPr>
    <w:rPr>
      <w:rFonts w:ascii="DejaVu Sans" w:hAnsi="DejaVu Sans" w:eastAsia="DejaVu Sans"/>
      <w:color w:val="24323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97C7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Chaldale Moorage Board Memo</dc:title>
  <dc:subject>Receivables, billing, queue and amendment audit as of 1 August 2026</dc:subject>
  <dc:creator>Chaldale Harbor District audit support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