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Moorage Audit: Board Memorandum</w:t>
      </w:r>
    </w:p>
    <w:tbl>
      <w:tblPr>
        <w:tblW w:type="auto" w:w="0"/>
        <w:jc w:val="left"/>
        <w:tblLayout w:type="fixed"/>
        <w:tblLook w:firstColumn="1" w:firstRow="1" w:lastColumn="0" w:lastRow="0" w:noHBand="0" w:noVBand="1" w:val="04A0"/>
      </w:tblPr>
      <w:tblGrid>
        <w:gridCol w:w="5198"/>
        <w:gridCol w:w="5198"/>
      </w:tblGrid>
      <w:tr>
        <w:tc>
          <w:tcPr>
            <w:tcW w:type="dxa" w:w="5198"/>
            <w:tcMar>
              <w:top w:w="60" w:type="dxa"/>
              <w:start w:w="80" w:type="dxa"/>
              <w:bottom w:w="60" w:type="dxa"/>
              <w:end w:w="80" w:type="dxa"/>
            </w:tcMar>
            <w:vAlign w:val="center"/>
            <w:shd w:fill="EDF3F7"/>
          </w:tcPr>
          <w:p>
            <w:pPr>
              <w:spacing w:after="0"/>
            </w:pPr>
            <w:r>
              <w:rPr>
                <w:rFonts w:ascii="Liberation Sans" w:hAnsi="Liberation Sans"/>
                <w:b/>
                <w:color w:val="1C2833"/>
                <w:sz w:val="17"/>
              </w:rPr>
              <w:t>TO</w:t>
            </w:r>
          </w:p>
        </w:tc>
        <w:tc>
          <w:tcPr>
            <w:tcW w:type="dxa" w:w="5198"/>
            <w:tcMar>
              <w:top w:w="60" w:type="dxa"/>
              <w:start w:w="80" w:type="dxa"/>
              <w:bottom w:w="60" w:type="dxa"/>
              <w:end w:w="80" w:type="dxa"/>
            </w:tcMar>
            <w:vAlign w:val="center"/>
            <w:shd w:fill="EDF3F7"/>
          </w:tcPr>
          <w:p>
            <w:pPr>
              <w:spacing w:after="0"/>
            </w:pPr>
            <w:r>
              <w:rPr>
                <w:rFonts w:ascii="Liberation Sans" w:hAnsi="Liberation Sans"/>
                <w:color w:val="1C2833"/>
                <w:sz w:val="17"/>
              </w:rPr>
              <w:t>Administrator Ginny Marina; Board of Harbor Commissioners</w:t>
            </w:r>
          </w:p>
        </w:tc>
      </w:tr>
      <w:tr>
        <w:tc>
          <w:tcPr>
            <w:tcW w:type="dxa" w:w="5198"/>
            <w:tcMar>
              <w:top w:w="60" w:type="dxa"/>
              <w:start w:w="80" w:type="dxa"/>
              <w:bottom w:w="60" w:type="dxa"/>
              <w:end w:w="80" w:type="dxa"/>
            </w:tcMar>
            <w:vAlign w:val="center"/>
            <w:shd w:fill="EDF3F7"/>
          </w:tcPr>
          <w:p>
            <w:pPr>
              <w:spacing w:after="0"/>
            </w:pPr>
            <w:r>
              <w:rPr>
                <w:rFonts w:ascii="Liberation Sans" w:hAnsi="Liberation Sans"/>
                <w:b/>
                <w:color w:val="1C2833"/>
                <w:sz w:val="17"/>
              </w:rPr>
              <w:t>FROM</w:t>
            </w:r>
          </w:p>
        </w:tc>
        <w:tc>
          <w:tcPr>
            <w:tcW w:type="dxa" w:w="5198"/>
            <w:tcMar>
              <w:top w:w="60" w:type="dxa"/>
              <w:start w:w="80" w:type="dxa"/>
              <w:bottom w:w="60" w:type="dxa"/>
              <w:end w:w="80" w:type="dxa"/>
            </w:tcMar>
            <w:vAlign w:val="center"/>
            <w:shd w:fill="EDF3F7"/>
          </w:tcPr>
          <w:p>
            <w:pPr>
              <w:spacing w:after="0"/>
            </w:pPr>
            <w:r>
              <w:rPr>
                <w:rFonts w:ascii="Liberation Sans" w:hAnsi="Liberation Sans"/>
                <w:color w:val="1C2833"/>
                <w:sz w:val="17"/>
              </w:rPr>
              <w:t>Moorage Counter Clerk</w:t>
            </w:r>
          </w:p>
        </w:tc>
      </w:tr>
      <w:tr>
        <w:tc>
          <w:tcPr>
            <w:tcW w:type="dxa" w:w="5198"/>
            <w:tcMar>
              <w:top w:w="60" w:type="dxa"/>
              <w:start w:w="80" w:type="dxa"/>
              <w:bottom w:w="60" w:type="dxa"/>
              <w:end w:w="80" w:type="dxa"/>
            </w:tcMar>
            <w:vAlign w:val="center"/>
            <w:shd w:fill="EDF3F7"/>
          </w:tcPr>
          <w:p>
            <w:pPr>
              <w:spacing w:after="0"/>
            </w:pPr>
            <w:r>
              <w:rPr>
                <w:rFonts w:ascii="Liberation Sans" w:hAnsi="Liberation Sans"/>
                <w:b/>
                <w:color w:val="1C2833"/>
                <w:sz w:val="17"/>
              </w:rPr>
              <w:t>DATE</w:t>
            </w:r>
          </w:p>
        </w:tc>
        <w:tc>
          <w:tcPr>
            <w:tcW w:type="dxa" w:w="5198"/>
            <w:tcMar>
              <w:top w:w="60" w:type="dxa"/>
              <w:start w:w="80" w:type="dxa"/>
              <w:bottom w:w="60" w:type="dxa"/>
              <w:end w:w="80" w:type="dxa"/>
            </w:tcMar>
            <w:vAlign w:val="center"/>
            <w:shd w:fill="EDF3F7"/>
          </w:tcPr>
          <w:p>
            <w:pPr>
              <w:spacing w:after="0"/>
            </w:pPr>
            <w:r>
              <w:rPr>
                <w:rFonts w:ascii="Liberation Sans" w:hAnsi="Liberation Sans"/>
                <w:color w:val="1C2833"/>
                <w:sz w:val="17"/>
              </w:rPr>
              <w:t>August 1, 2026</w:t>
            </w:r>
          </w:p>
        </w:tc>
      </w:tr>
      <w:tr>
        <w:tc>
          <w:tcPr>
            <w:tcW w:type="dxa" w:w="5198"/>
            <w:tcMar>
              <w:top w:w="60" w:type="dxa"/>
              <w:start w:w="80" w:type="dxa"/>
              <w:bottom w:w="60" w:type="dxa"/>
              <w:end w:w="80" w:type="dxa"/>
            </w:tcMar>
            <w:vAlign w:val="center"/>
            <w:shd w:fill="DDEFEF"/>
          </w:tcPr>
          <w:p>
            <w:pPr>
              <w:spacing w:after="0"/>
            </w:pPr>
            <w:r>
              <w:rPr>
                <w:rFonts w:ascii="Liberation Sans" w:hAnsi="Liberation Sans"/>
                <w:b/>
                <w:color w:val="1C2833"/>
                <w:sz w:val="17"/>
              </w:rPr>
              <w:t>SUBJECT</w:t>
            </w:r>
          </w:p>
        </w:tc>
        <w:tc>
          <w:tcPr>
            <w:tcW w:type="dxa" w:w="5198"/>
            <w:tcMar>
              <w:top w:w="60" w:type="dxa"/>
              <w:start w:w="80" w:type="dxa"/>
              <w:bottom w:w="60" w:type="dxa"/>
              <w:end w:w="80" w:type="dxa"/>
            </w:tcMar>
            <w:vAlign w:val="center"/>
            <w:shd w:fill="DDEFEF"/>
          </w:tcPr>
          <w:p>
            <w:pPr>
              <w:spacing w:after="0"/>
            </w:pPr>
            <w:r>
              <w:rPr>
                <w:rFonts w:ascii="Liberation Sans" w:hAnsi="Liberation Sans"/>
                <w:color w:val="1C2833"/>
                <w:sz w:val="17"/>
              </w:rPr>
              <w:t>Queue documentation, billing leakage, and delinquency audit, January 1, 2023-July 31, 2026</w:t>
            </w:r>
          </w:p>
        </w:tc>
      </w:tr>
    </w:tbl>
    <w:p>
      <w:pPr>
        <w:pStyle w:val="Heading1"/>
      </w:pPr>
      <w:r>
        <w:t>Decision Summary</w:t>
      </w:r>
    </w:p>
    <w:p>
      <w:r>
        <w:rPr>
          <w:b/>
        </w:rPr>
        <w:t xml:space="preserve">Confirmed rate/length leakage: </w:t>
      </w:r>
      <w:r>
        <w:t>$0.00 per month in the tested population. All 260 active accounts carried on the July aging ledger re-priced exactly to $115,117.60: the expected and billed totals agree. This is a rate-and-length conclusion, not a claim that the aging report is a complete census of all occupied slips.</w:t>
      </w:r>
    </w:p>
    <w:p>
      <w:r>
        <w:rPr>
          <w:b/>
        </w:rPr>
        <w:t xml:space="preserve">Queue exceptions: </w:t>
      </w:r>
      <w:r>
        <w:t>three of 309 in-window skip-register records have no contemporaneous supporting record: WL-02618, WL-03044, and WL-03390. Their physical PDFs end at the cover sheet and the skip export explicitly states that support was not attached. Standing Order 15-3 sections 3.2-3.3 therefore do not permit the files to sustain the bypasses as assembled.</w:t>
      </w:r>
    </w:p>
    <w:p>
      <w:r>
        <w:rPr>
          <w:b/>
        </w:rPr>
        <w:t xml:space="preserve">Length-amendment exceptions: </w:t>
      </w:r>
      <w:r>
        <w:t>none identified in an in-window skip. Matching each skip to the latest prior LOA amendment found no use of an unsupported post-August 1, 2022 amendment. The one physical file tied to such an amendment, WL-03102, cites the Foldview haul-out measurement sheet dated June 29, 2025, satisfying Resolution 2022-06 section 4.3.</w:t>
      </w:r>
    </w:p>
    <w:p>
      <w:pPr>
        <w:pStyle w:val="Heading1"/>
      </w:pPr>
      <w:r>
        <w:t>Financial Exposure</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shd w:fill="18324A"/>
          </w:tcPr>
          <w:p>
            <w:r>
              <w:rPr>
                <w:rFonts w:ascii="Liberation Sans" w:hAnsi="Liberation Sans"/>
                <w:b/>
                <w:color w:val="FFFFFF"/>
                <w:sz w:val="16"/>
              </w:rPr>
              <w:t>Measure</w:t>
            </w:r>
          </w:p>
        </w:tc>
        <w:tc>
          <w:tcPr>
            <w:tcW w:type="dxa" w:w="2599"/>
            <w:shd w:fill="18324A"/>
          </w:tcPr>
          <w:p>
            <w:r>
              <w:rPr>
                <w:rFonts w:ascii="Liberation Sans" w:hAnsi="Liberation Sans"/>
                <w:b/>
                <w:color w:val="FFFFFF"/>
                <w:sz w:val="16"/>
              </w:rPr>
              <w:t>Basis</w:t>
            </w:r>
          </w:p>
        </w:tc>
        <w:tc>
          <w:tcPr>
            <w:tcW w:type="dxa" w:w="2599"/>
            <w:shd w:fill="18324A"/>
          </w:tcPr>
          <w:p>
            <w:r>
              <w:rPr>
                <w:rFonts w:ascii="Liberation Sans" w:hAnsi="Liberation Sans"/>
                <w:b/>
                <w:color w:val="FFFFFF"/>
                <w:sz w:val="16"/>
              </w:rPr>
              <w:t>Amount</w:t>
            </w:r>
          </w:p>
        </w:tc>
        <w:tc>
          <w:tcPr>
            <w:tcW w:type="dxa" w:w="2599"/>
            <w:shd w:fill="18324A"/>
          </w:tcPr>
          <w:p>
            <w:r>
              <w:rPr>
                <w:rFonts w:ascii="Liberation Sans" w:hAnsi="Liberation Sans"/>
                <w:b/>
                <w:color w:val="FFFFFF"/>
                <w:sz w:val="16"/>
              </w:rPr>
              <w:t>Interpretation</w:t>
            </w:r>
          </w:p>
        </w:tc>
      </w:tr>
      <w:tr>
        <w:tc>
          <w:tcPr>
            <w:tcW w:type="dxa" w:w="2599"/>
            <w:tcMar>
              <w:top w:w="50" w:type="dxa"/>
              <w:start w:w="80" w:type="dxa"/>
              <w:bottom w:w="50" w:type="dxa"/>
              <w:end w:w="80" w:type="dxa"/>
            </w:tcMar>
          </w:tcPr>
          <w:p>
            <w:r>
              <w:rPr>
                <w:rFonts w:ascii="Liberation Sans" w:hAnsi="Liberation Sans"/>
                <w:color w:val="1C2833"/>
                <w:sz w:val="15"/>
              </w:rPr>
              <w:t>Monthly leakage</w:t>
            </w:r>
          </w:p>
        </w:tc>
        <w:tc>
          <w:tcPr>
            <w:tcW w:type="dxa" w:w="2599"/>
            <w:tcMar>
              <w:top w:w="50" w:type="dxa"/>
              <w:start w:w="80" w:type="dxa"/>
              <w:bottom w:w="50" w:type="dxa"/>
              <w:end w:w="80" w:type="dxa"/>
            </w:tcMar>
          </w:tcPr>
          <w:p>
            <w:r>
              <w:rPr>
                <w:rFonts w:ascii="Liberation Sans" w:hAnsi="Liberation Sans"/>
                <w:color w:val="1C2833"/>
                <w:sz w:val="15"/>
              </w:rPr>
              <w:t>Expected less billed, positive variances</w:t>
            </w:r>
          </w:p>
        </w:tc>
        <w:tc>
          <w:tcPr>
            <w:tcW w:type="dxa" w:w="2599"/>
            <w:tcMar>
              <w:top w:w="50" w:type="dxa"/>
              <w:start w:w="80" w:type="dxa"/>
              <w:bottom w:w="50" w:type="dxa"/>
              <w:end w:w="80" w:type="dxa"/>
            </w:tcMar>
          </w:tcPr>
          <w:p>
            <w:r>
              <w:rPr>
                <w:rFonts w:ascii="Liberation Sans" w:hAnsi="Liberation Sans"/>
                <w:color w:val="1C2833"/>
                <w:sz w:val="15"/>
              </w:rPr>
              <w:t>$0.00</w:t>
            </w:r>
          </w:p>
        </w:tc>
        <w:tc>
          <w:tcPr>
            <w:tcW w:type="dxa" w:w="2599"/>
            <w:tcMar>
              <w:top w:w="50" w:type="dxa"/>
              <w:start w:w="80" w:type="dxa"/>
              <w:bottom w:w="50" w:type="dxa"/>
              <w:end w:w="80" w:type="dxa"/>
            </w:tcMar>
          </w:tcPr>
          <w:p>
            <w:r>
              <w:rPr>
                <w:rFonts w:ascii="Liberation Sans" w:hAnsi="Liberation Sans"/>
                <w:color w:val="1C2833"/>
                <w:sz w:val="15"/>
              </w:rPr>
              <w:t>No rate/length underbilling found</w:t>
            </w:r>
          </w:p>
        </w:tc>
      </w:tr>
      <w:tr>
        <w:tc>
          <w:tcPr>
            <w:tcW w:type="dxa" w:w="2599"/>
            <w:tcMar>
              <w:top w:w="50" w:type="dxa"/>
              <w:start w:w="80" w:type="dxa"/>
              <w:bottom w:w="50" w:type="dxa"/>
              <w:end w:w="80" w:type="dxa"/>
            </w:tcMar>
          </w:tcPr>
          <w:p>
            <w:r>
              <w:rPr>
                <w:rFonts w:ascii="Liberation Sans" w:hAnsi="Liberation Sans"/>
                <w:color w:val="1C2833"/>
                <w:sz w:val="15"/>
              </w:rPr>
              <w:t>&gt;90-day balance</w:t>
            </w:r>
          </w:p>
        </w:tc>
        <w:tc>
          <w:tcPr>
            <w:tcW w:type="dxa" w:w="2599"/>
            <w:tcMar>
              <w:top w:w="50" w:type="dxa"/>
              <w:start w:w="80" w:type="dxa"/>
              <w:bottom w:w="50" w:type="dxa"/>
              <w:end w:w="80" w:type="dxa"/>
            </w:tcMar>
          </w:tcPr>
          <w:p>
            <w:r>
              <w:rPr>
                <w:rFonts w:ascii="Liberation Sans" w:hAnsi="Liberation Sans"/>
                <w:color w:val="1C2833"/>
                <w:sz w:val="15"/>
              </w:rPr>
              <w:t>91-120 plus 120+ aging buckets</w:t>
            </w:r>
          </w:p>
        </w:tc>
        <w:tc>
          <w:tcPr>
            <w:tcW w:type="dxa" w:w="2599"/>
            <w:tcMar>
              <w:top w:w="50" w:type="dxa"/>
              <w:start w:w="80" w:type="dxa"/>
              <w:bottom w:w="50" w:type="dxa"/>
              <w:end w:w="80" w:type="dxa"/>
            </w:tcMar>
          </w:tcPr>
          <w:p>
            <w:r>
              <w:rPr>
                <w:rFonts w:ascii="Liberation Sans" w:hAnsi="Liberation Sans"/>
                <w:color w:val="1C2833"/>
                <w:sz w:val="15"/>
              </w:rPr>
              <w:t>$4,368.00</w:t>
            </w:r>
          </w:p>
        </w:tc>
        <w:tc>
          <w:tcPr>
            <w:tcW w:type="dxa" w:w="2599"/>
            <w:tcMar>
              <w:top w:w="50" w:type="dxa"/>
              <w:start w:w="80" w:type="dxa"/>
              <w:bottom w:w="50" w:type="dxa"/>
              <w:end w:w="80" w:type="dxa"/>
            </w:tcMar>
          </w:tcPr>
          <w:p>
            <w:r>
              <w:rPr>
                <w:rFonts w:ascii="Liberation Sans" w:hAnsi="Liberation Sans"/>
                <w:color w:val="1C2833"/>
                <w:sz w:val="15"/>
              </w:rPr>
              <w:t>Collection exposure; not leakage</w:t>
            </w:r>
          </w:p>
        </w:tc>
      </w:tr>
      <w:tr>
        <w:tc>
          <w:tcPr>
            <w:tcW w:type="dxa" w:w="2599"/>
            <w:tcMar>
              <w:top w:w="50" w:type="dxa"/>
              <w:start w:w="80" w:type="dxa"/>
              <w:bottom w:w="50" w:type="dxa"/>
              <w:end w:w="80" w:type="dxa"/>
            </w:tcMar>
          </w:tcPr>
          <w:p>
            <w:r>
              <w:rPr>
                <w:rFonts w:ascii="Liberation Sans" w:hAnsi="Liberation Sans"/>
                <w:color w:val="1C2833"/>
                <w:sz w:val="15"/>
              </w:rPr>
              <w:t>Total due</w:t>
            </w:r>
          </w:p>
        </w:tc>
        <w:tc>
          <w:tcPr>
            <w:tcW w:type="dxa" w:w="2599"/>
            <w:tcMar>
              <w:top w:w="50" w:type="dxa"/>
              <w:start w:w="80" w:type="dxa"/>
              <w:bottom w:w="50" w:type="dxa"/>
              <w:end w:w="80" w:type="dxa"/>
            </w:tcMar>
          </w:tcPr>
          <w:p>
            <w:r>
              <w:rPr>
                <w:rFonts w:ascii="Liberation Sans" w:hAnsi="Liberation Sans"/>
                <w:color w:val="1C2833"/>
                <w:sz w:val="15"/>
              </w:rPr>
              <w:t>All buckets for six delinquent holders</w:t>
            </w:r>
          </w:p>
        </w:tc>
        <w:tc>
          <w:tcPr>
            <w:tcW w:type="dxa" w:w="2599"/>
            <w:tcMar>
              <w:top w:w="50" w:type="dxa"/>
              <w:start w:w="80" w:type="dxa"/>
              <w:bottom w:w="50" w:type="dxa"/>
              <w:end w:w="80" w:type="dxa"/>
            </w:tcMar>
          </w:tcPr>
          <w:p>
            <w:r>
              <w:rPr>
                <w:rFonts w:ascii="Liberation Sans" w:hAnsi="Liberation Sans"/>
                <w:color w:val="1C2833"/>
                <w:sz w:val="15"/>
              </w:rPr>
              <w:t>$13,166.40</w:t>
            </w:r>
          </w:p>
        </w:tc>
        <w:tc>
          <w:tcPr>
            <w:tcW w:type="dxa" w:w="2599"/>
            <w:tcMar>
              <w:top w:w="50" w:type="dxa"/>
              <w:start w:w="80" w:type="dxa"/>
              <w:bottom w:w="50" w:type="dxa"/>
              <w:end w:w="80" w:type="dxa"/>
            </w:tcMar>
          </w:tcPr>
          <w:p>
            <w:r>
              <w:rPr>
                <w:rFonts w:ascii="Liberation Sans" w:hAnsi="Liberation Sans"/>
                <w:color w:val="1C2833"/>
                <w:sz w:val="15"/>
              </w:rPr>
              <w:t>Cash and credit risk</w:t>
            </w:r>
          </w:p>
        </w:tc>
      </w:tr>
    </w:tbl>
    <w:p>
      <w:r>
        <w:rPr>
          <w:b/>
        </w:rPr>
        <w:t xml:space="preserve">Arithmetic. </w:t>
      </w:r>
      <w:r>
        <w:t>For each aging-ledger account, billable feet equal the greater of inventory LOA rounded up and posted slip length. Multiply by $10.40 for Ledgport/Vessbank or $7.55 for Eastwey/Gullwing/Salmonberry. The sum is $115,117.60; the July current-charge sum is also $115,117.60; identified leakage is therefore $115,117.60 - $115,117.60 = $0.00.</w:t>
      </w:r>
    </w:p>
    <w:p>
      <w:r>
        <w:rPr>
          <w:b/>
        </w:rPr>
        <w:t xml:space="preserve">Sources for page 1. </w:t>
      </w:r>
      <w:r>
        <w:t>AR_Aging sheet rows 3-262 and Summary sheet in ar_aging_2026-07-31.xlsx; slip_inventory_2026-08.csv; Tariff Resolution 2019-14 sections 1(4) and 2.4; Resolution 2022-06 sections 1 and 4.3; Standing Order 15-3 sections 3.2-3.3; skip_events_2022_2026.csv; amendment_log_2022_2026.csv; and the six PDFs in skip_files.</w:t>
      </w:r>
    </w:p>
    <w:p>
      <w:r>
        <w:br w:type="page"/>
      </w:r>
    </w:p>
    <w:p>
      <w:pPr>
        <w:pStyle w:val="Heading1"/>
      </w:pPr>
      <w:r>
        <w:t>Appeal Prioritization</w:t>
      </w:r>
    </w:p>
    <w:p>
      <w:r>
        <w:rPr>
          <w:b/>
        </w:rPr>
        <w:t xml:space="preserve">1. WL-03390 - immediate preservation and legal review. </w:t>
      </w:r>
      <w:r>
        <w:t>The November 5, 2024 cover sheet cites prior offer OFR-2024-0402 but gives neither the prior offer date nor slip required by Standing Order 15-3 section 3.3. That offer identifier is absent from offer_events_2022_2026.csv. The physical file names VB-0144, while skip_events row 411 names SB-0120. The supplied records do not establish the event that supposedly removed eligibility.</w:t>
      </w:r>
    </w:p>
    <w:p>
      <w:r>
        <w:rPr>
          <w:b/>
        </w:rPr>
        <w:t xml:space="preserve">2. WL-03044 - high-priority factual reconstruction. </w:t>
      </w:r>
      <w:r>
        <w:t>The February 20, 2024 file lacks the preference sheet. Its cover sheet says the applicant wanted covered-only moorage and names open slip EW-0603; skip_events row 410 instead names covered slip VB-0904. The August 2026 applicant register records Eastwey. A later preference change could explain the current entry, but no preference history is present in the supplied amendment log. Do not defend the bypass until the date-worked preference sheet and day log are located.</w:t>
      </w:r>
    </w:p>
    <w:p>
      <w:r>
        <w:rPr>
          <w:b/>
        </w:rPr>
        <w:t xml:space="preserve">3. WL-02618 - high-priority measurement and chronology check. </w:t>
      </w:r>
      <w:r>
        <w:t>The May 2, 2023 vessel-fit file lacks the particulars printout. The physical file names EW-0414, while skip_events row 409 names GW-0610. The August 2026 register also gives an application date after the claimed skip date. Those conflicts prevent the present record from proving eligibility status at the controlling moment.</w:t>
      </w:r>
    </w:p>
    <w:p>
      <w:pPr>
        <w:pStyle w:val="Heading1"/>
      </w:pPr>
      <w:r>
        <w:t>Collections Priority</w:t>
      </w:r>
    </w:p>
    <w:p>
      <w:r>
        <w:t>The Aging tab identifies six occupied Ledgport accounts with balances in the source ledger's 91-120 or 120+ buckets. Their aged balance is $4,368.00 and aggregate balance across all buckets is $13,166.40. Prioritize Lee Maldonado and Stacey Mitchell first because they carry 120+ balances; then Paula Arroyo, Dawn Brown, Andrew Anderson, and Allison Nguyen. This ordering addresses debt age, not queue-appeal severity.</w:t>
      </w:r>
    </w:p>
    <w:p>
      <w:pPr>
        <w:pStyle w:val="Heading1"/>
      </w:pPr>
      <w:r>
        <w:t>Recommended Board Direction</w:t>
      </w:r>
    </w:p>
    <w:p>
      <w:pPr>
        <w:pStyle w:val="ListNumber"/>
        <w:spacing w:after="60"/>
      </w:pPr>
      <w:r>
        <w:t>Preserve and produce the date-specific day log, original offer packet, and source record for each queue exception before taking an appeal position.</w:t>
      </w:r>
    </w:p>
    <w:p>
      <w:pPr>
        <w:pStyle w:val="ListNumber"/>
        <w:spacing w:after="60"/>
      </w:pPr>
      <w:r>
        <w:t>Require future skip closure to include a reason-specific document identifier and same-day completeness check; a cover sheet is not proof.</w:t>
      </w:r>
    </w:p>
    <w:p>
      <w:pPr>
        <w:pStyle w:val="ListNumber"/>
        <w:spacing w:after="60"/>
      </w:pPr>
      <w:r>
        <w:t>Accept the $0 rate/length leakage result only for the 260 active accounts on the July aging ledger, and request a separate occupancy-to-billing completeness test before describing District-wide leakage as zero.</w:t>
      </w:r>
    </w:p>
    <w:p>
      <w:pPr>
        <w:pStyle w:val="ListNumber"/>
        <w:spacing w:after="60"/>
      </w:pPr>
      <w:r>
        <w:t>Move the six Aging-tab accounts through the normal collections sequence and report the $4,368 aged balance separately from operating-revenue leakage.</w:t>
      </w:r>
    </w:p>
    <w:p>
      <w:pPr>
        <w:pStyle w:val="Heading1"/>
      </w:pPr>
      <w:r>
        <w:t>Record Authority and Limitation</w:t>
      </w:r>
    </w:p>
    <w:p>
      <w:r>
        <w:t>Standing Order 15-3 section 1.1 makes the day log the controlling record of when and which slip was worked. The supplied date-specific logs do not include the three exception dates, so conflicts between the physical files and skip export cannot be resolved. The physical files nevertheless govern completeness and fail it. Resolution 2022-06 controls over earlier measures where they conflict, but section 4.3 does not create an exception because no unsupported post-effective-date LOA was used.</w:t>
      </w:r>
    </w:p>
    <w:p>
      <w:r>
        <w:rPr>
          <w:b/>
        </w:rPr>
        <w:t xml:space="preserve">Sources for page 2. </w:t>
      </w:r>
      <w:r>
        <w:t>WL-02618, WL-03044, and WL-03390 skip justification PDFs; skip_events_2022_2026.csv rows 409-411; offer_events_2022_2026.csv; applicant_register_2026-08.csv rows 1619, 2045, and 2391; Standing Order 15-3 sections 1.1, 3.2, and 3.3; Resolution 2022-06 sections 4.3 and 7.2; and AR_Aging sheet in ar_aging_2026-07-31.xlsx.</w:t>
      </w:r>
    </w:p>
    <w:sectPr w:rsidR="00FC693F" w:rsidRPr="0006063C" w:rsidSect="00034616">
      <w:headerReference w:type="default" r:id="rId9"/>
      <w:footerReference w:type="default" r:id="rId10"/>
      <w:pgSz w:w="12240" w:h="15840"/>
      <w:pgMar w:top="749" w:right="922" w:bottom="691" w:left="922"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66573"/>
        <w:sz w:val="15"/>
      </w:rPr>
      <w:t xml:space="preserve">Moorage audit | August 1, 2026 | Page </w:t>
    </w:r>
    <w:r>
      <w:rPr>
        <w:rFonts w:ascii="Liberation Sans" w:hAnsi="Liberation Sans"/>
        <w:color w:val="566573"/>
        <w:sz w:val="15"/>
      </w:rPr>
      <w:fldChar w:fldCharType="begin"/>
      <w:instrText xml:space="preserve">PAGE</w:instrText>
      <w:fldChar w:fldCharType="separate"/>
      <w:t>1</w:t>
      <w:fldChar w:fldCharType="end"/>
    </w:r>
    <w:r>
      <w:rPr>
        <w:rFonts w:ascii="Liberation Sans" w:hAnsi="Liberation Sans"/>
        <w:color w:val="566573"/>
        <w:sz w:val="15"/>
      </w:rPr>
      <w:t xml:space="preserve"> of </w:t>
    </w:r>
    <w:r>
      <w:rPr>
        <w:rFonts w:ascii="Liberation Sans" w:hAnsi="Liberation Sans"/>
        <w:color w:val="566573"/>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66573"/>
        <w:sz w:val="15"/>
      </w:rPr>
      <w:t>CHALDALE HARBOR DISTRICT  |  BOARD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C28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Liberation Sans" w:hAnsi="Liberation Sans" w:eastAsia="Liberation Sans"/>
      <w:b/>
      <w:bCs/>
      <w:color w:val="147D7E"/>
      <w:sz w:val="24"/>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Liberation Sans" w:hAnsi="Liberation Sans" w:eastAsia="Liberation Sans"/>
      <w:b/>
      <w:bCs/>
      <w:color w:val="18324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60"/>
      <w:contextualSpacing/>
    </w:pPr>
    <w:rPr>
      <w:rFonts w:asciiTheme="majorHAnsi" w:eastAsiaTheme="majorEastAsia" w:hAnsiTheme="majorHAnsi" w:cstheme="majorBidi" w:ascii="Liberation Sans" w:hAnsi="Liberation Sans" w:eastAsia="Liberation Sans"/>
      <w:b/>
      <w:color w:val="1832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Moorage Board Memo</dc:title>
  <dc:subject>August 2026 moorage audit</dc:subject>
  <dc:creator>Chaldale Harbor District</dc:creator>
  <cp:keywords/>
  <dc:description>generated by python-docx</dc:description>
  <cp:lastModifiedBy/>
  <cp:revision>1</cp:revision>
  <dcterms:created xsi:type="dcterms:W3CDTF">2013-12-23T23:15:00Z</dcterms:created>
  <dcterms:modified xsi:type="dcterms:W3CDTF">2013-12-23T23:15:00Z</dcterms:modified>
  <cp:category/>
</cp:coreProperties>
</file>