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Moorage Audit Memo - August 2026</w:t>
      </w:r>
    </w:p>
    <w:p>
      <w:r>
        <w:t>To: Administrator Ginny Marina</w:t>
        <w:br/>
        <w:t>From: Counter Clerk</w:t>
        <w:br/>
        <w:t>Date: August 1, 2026</w:t>
        <w:br/>
        <w:t>Subject: Moorage Audit Findings and Appeals Prioritization</w:t>
        <w:br/>
      </w:r>
    </w:p>
    <w:p>
      <w:pPr>
        <w:pStyle w:val="Heading1"/>
      </w:pPr>
      <w:r>
        <w:t>1. Queue Exceptions</w:t>
      </w:r>
    </w:p>
    <w:p>
      <w:r>
        <w:t>An audit of all applicant skips between January 1, 2023, and July 31, 2026, revealed 19 instances of a bypass lacking contemporaneous proof of eligibility as required by Standing Order 15-3. Additionally, 12 instances were identified where an uncertified vessel length amendment was entered without supporting documentation (e.g., measurement certificate or haul-out sheet), violating Resolution 2022-06 s.4.3. These queue exceptions represent administrative gaps in the record-keeping of the waiting list and offer procedures.</w:t>
      </w:r>
    </w:p>
    <w:p>
      <w:pPr>
        <w:pStyle w:val="Heading1"/>
      </w:pPr>
      <w:r>
        <w:t>2. Billing Reconciliations &amp; Revenue Leakage</w:t>
      </w:r>
    </w:p>
    <w:p>
      <w:r>
        <w:t>A reconciliation of active slip billings against check-in measurements revealed systemic billing errors across the moorage. The audit compared the vessel's Length Overall (LOA) at check-in to the length being billed on the foot-month basis. We found $0.00 in total revenue leakage (undercharges). However, we identified 267 instances of overcharging, totaling $29,035.00 per month in excess billings.</w:t>
      </w:r>
    </w:p>
    <w:p>
      <w:r>
        <w:t>The discrepancy stems from tenants being billed for the total slip size rather than their vessel's Length Overall (LOA) at check-in. Resolution 2022-06 stipulates that billing remains strictly on a foot-month basis (billable length in feet times months billed). By charging for the slip size instead of the rounded check-in measurement, the District has overcharged a substantial portion of the moorage tenants.</w:t>
      </w:r>
    </w:p>
    <w:p>
      <w:r>
        <w:br w:type="page"/>
      </w:r>
    </w:p>
    <w:p>
      <w:pPr>
        <w:pStyle w:val="Heading1"/>
      </w:pPr>
      <w:r>
        <w:t>3. Risk of Appeals Prioritization</w:t>
      </w:r>
    </w:p>
    <w:p>
      <w:r>
        <w:t>The $29,035.00 monthly overcharge creates a severe risk of appeals and a substantial financial liability for the District. When tenants realize they are being charged for unused slip space instead of their vessel's check-in length, we anticipate a high volume of refund requests and formal appeals. As these overcharges violate the explicit rules adopted in Resolution 2022-06, the District is exposed to potential legal and regulatory scrutiny.</w:t>
      </w:r>
    </w:p>
    <w:p>
      <w:r>
        <w:t>Prioritization must be given to correcting the billing system to use the proper vessel LOA, refunding or crediting the affected accounts, and communicating the resolution transparently to mitigate disputes. The Board should prepare for immediate action to halt the ongoing overcharges and set aside reserve funds to cover anticipated refunds.</w:t>
      </w:r>
    </w:p>
    <w:p>
      <w:pPr>
        <w:pStyle w:val="Heading1"/>
      </w:pPr>
      <w:r>
        <w:t>4. Delinquent Accounts</w:t>
      </w:r>
    </w:p>
    <w:p>
      <w:r>
        <w:t>Finally, 6 active slip holders were identified as more than 90 days delinquent on the July aging ledger, requiring immediate follow-up per standard collection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