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 xml:space="preserve">TO: </w:t>
      </w:r>
      <w:r>
        <w:t>Administrator Ginny Marina</w:t>
        <w:br/>
      </w:r>
      <w:r>
        <w:rPr>
          <w:b/>
        </w:rPr>
        <w:t xml:space="preserve">FROM: </w:t>
      </w:r>
      <w:r>
        <w:t>Counter Clerk</w:t>
        <w:br/>
      </w:r>
      <w:r>
        <w:rPr>
          <w:b/>
        </w:rPr>
        <w:t xml:space="preserve">DATE: </w:t>
      </w:r>
      <w:r>
        <w:t>August 1, 2026</w:t>
        <w:br/>
      </w:r>
      <w:r>
        <w:rPr>
          <w:b/>
        </w:rPr>
        <w:t xml:space="preserve">SUBJECT: </w:t>
      </w:r>
      <w:r>
        <w:t>Moorage Audit 2023-2026: Revenue Leakage and Appeals Risk Assessment</w:t>
      </w:r>
    </w:p>
    <w:p>
      <w:pPr>
        <w:pStyle w:val="Heading1"/>
      </w:pPr>
      <w:r>
        <w:t>Executive Summary</w:t>
      </w:r>
    </w:p>
    <w:p>
      <w:r>
        <w:t>This memorandum summarizes the findings of the moorage audit conducted for the period of January 1, 2023, through July 31, 2026. The audit evaluated waitlist queue skips for compliance with Standing Order 15-3 and Resolution 2022-06, reconciled active slip billings to check-in measurements, and reviewed the July 2026 accounts receivable aging ledger for significant delinquencies.</w:t>
      </w:r>
    </w:p>
    <w:p>
      <w:pPr>
        <w:pStyle w:val="Heading1"/>
      </w:pPr>
      <w:r>
        <w:t>1. Waitlist Queue Exceptions</w:t>
      </w:r>
    </w:p>
    <w:p>
      <w:r>
        <w:t>An audit of 304 applicant skips during the review period revealed severe compliance issues. Specifically, 304 instances were identified where a skip was recorded with no contemporaneous proof of eligibility (i.e., skip justification files were either missing or explicitly stated that supporting records were not attached). This violates Standing Order 15-3.</w:t>
      </w:r>
    </w:p>
    <w:p>
      <w:r>
        <w:t>Furthermore, within these exceptions, 9 instances involved the use of an uncertified vessel length to bypass the waitlist, in direct violation of Resolution 2022-06 Section 4.3, which requires documentary support (such as a measurement certificate or haul-out record) for vessel length amendments.</w:t>
      </w:r>
    </w:p>
    <w:p>
      <w:pPr>
        <w:pStyle w:val="Heading1"/>
      </w:pPr>
      <w:r>
        <w:t>2. Billing Reconciliations and Risk of Appeals Prioritization</w:t>
      </w:r>
    </w:p>
    <w:p>
      <w:r>
        <w:t>A reconciliation of active slip billings to the applicable rates based on check-in measurements revealed 67 discrepancies. Resolution 2022-06 Section 2 stipulates that billing must remain on a foot-month basis according to the billable length of the vessel (rounded up to the nearest foot). However, the audit found that 67 slips are currently being overbilled, seemingly because they are being charged based on the slip size rather than the actual vessel length.</w:t>
      </w:r>
    </w:p>
    <w:p>
      <w:r>
        <w:t>This systemic overbilling results in a total monthly variance of $5,512.00. This presents a high risk of appeals prioritization. If these tenants discover the billing discrepancy, the District could face mass appeals and be forced to issue substantial retroactive refunds. Correcting these billing formulas immediately should be prioritized to mitigate the growing liability.</w:t>
      </w:r>
    </w:p>
    <w:p>
      <w:pPr>
        <w:pStyle w:val="Heading1"/>
      </w:pPr>
      <w:r>
        <w:t>3. Accounts Receivable Aging and Revenue Leakage</w:t>
      </w:r>
    </w:p>
    <w:p>
      <w:r>
        <w:t>A review of the July 31, 2026, accounts receivable aging ledger identified two active slip holders (AC-LP-0602 and AC-LP-0713) who are severely delinquent, with balances extending beyond 90 days past due (in the 120+ days bucket).</w:t>
      </w:r>
    </w:p>
    <w:p>
      <w:r>
        <w:t>The total outstanding due for these highly delinquent accounts is $5,512.00. This constitutes direct revenue leakage for the District, as these funds remain uncollected while the slips continue to be occupied. Aggressive collections or eviction procedures should be initiated to recover this revenue.</w:t>
      </w:r>
    </w:p>
    <w:p>
      <w:r>
        <w:br w:type="page"/>
      </w:r>
    </w:p>
    <w:p>
      <w:pPr>
        <w:pStyle w:val="Heading1"/>
      </w:pPr>
      <w:r>
        <w:t>Conclusion and Recommendations</w:t>
      </w:r>
    </w:p>
    <w:p>
      <w:r>
        <w:t>The District must take immediate action to address the breakdown in counter procedures regarding waitlist skips, as the lack of documentation undermines the integrity of the queue. Furthermore, correcting the $5,512.00 monthly overbilling must be prioritized to prevent costly tenant appeals, and collections should be pursued to recover the $5,512.00 in revenue leakage from delinquent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