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MEMORANDUM</w:t>
      </w:r>
    </w:p>
    <w:p>
      <w:r>
        <w:t>TO:</w:t>
        <w:tab/>
        <w:tab/>
        <w:t>Administrator Ginny Marina, Chaldale Harbor District</w:t>
      </w:r>
    </w:p>
    <w:p>
      <w:r>
        <w:t>FROM:</w:t>
        <w:tab/>
        <w:tab/>
        <w:t>Internal Audit</w:t>
      </w:r>
    </w:p>
    <w:p>
      <w:r>
        <w:t>DATE:</w:t>
        <w:tab/>
        <w:tab/>
        <w:t>August 1, 2026</w:t>
      </w:r>
    </w:p>
    <w:p>
      <w:r>
        <w:t>SUBJECT:</w:t>
        <w:tab/>
        <w:t>Moorage Audit Findings - Queue Exceptions, Billing Reconciliations, and Delinquencies</w:t>
      </w:r>
    </w:p>
    <w:p>
      <w:r>
        <w:t>__________________________________________________</w:t>
      </w:r>
    </w:p>
    <w:p>
      <w:pPr>
        <w:pStyle w:val="Heading1"/>
      </w:pPr>
      <w:r>
        <w:t>1. Executive Summary</w:t>
      </w:r>
    </w:p>
    <w:p>
      <w:r>
        <w:t>In accordance with District oversight requirements, an audit of the Chaldale Harbor District's moorage operations has been conducted for the period spanning January 1, 2023 through July 31, 2026. This comprehensive audit investigated queue exceptions relating to Standing Order 15-3 (contemporaneous proof of eligibility for skips) and Resolution 2022-06 s.4.3 (use of uncertified vessel lengths). Furthermore, active slip billings were reconciled against check-in measurements to identify variances, and the July 2026 aging ledger was reviewed to locate severely delinquent accounts. The accompanying Excel workbook, chaldale_moorage_audit_2026-08.xlsx, contains the detailed row-by-row findings for Board review.</w:t>
      </w:r>
    </w:p>
    <w:p>
      <w:pPr>
        <w:pStyle w:val="Heading1"/>
      </w:pPr>
      <w:r>
        <w:t>2. Queue Exceptions</w:t>
      </w:r>
    </w:p>
    <w:p>
      <w:r>
        <w:t>Our audit reviewed the administration of the waitlist and specifically targeted skips recorded between January 2023 and July 2026. A total of 304 skipped offers were identified during this period.</w:t>
      </w:r>
    </w:p>
    <w:p>
      <w:r>
        <w:t>A. Bypasses Lacking Contemporaneous Proof</w:t>
        <w:br/>
        <w:t>Under Standing Order 15-3, each skip must be supported by a justification file assembled on the day the slip is worked. Upon reviewing the skip files directory, we found zero (0) valid justification files corresponding to these 304 skips for the given dates. Consequently, all 304 skips represent bypass exceptions lacking contemporaneous proof of eligibility.</w:t>
      </w:r>
    </w:p>
    <w:p>
      <w:r>
        <w:t>B. Use of Uncertified Vessel Length</w:t>
        <w:br/>
        <w:t>Resolution 2022-06 s.4.3 requires that any length amendments entered on or after August 1, 2022, must be supported by a measurement certificate or haul-out record before being used to qualify or disqualify an applicant for a skip. We cross-referenced uncertified length amendments against the skips in the audit period and identified no instances (0 exceptions) where an uncertified vessel length was used as the basis for a skip. This category has no exceptions.</w:t>
      </w:r>
    </w:p>
    <w:p>
      <w:r>
        <w:br w:type="page"/>
      </w:r>
    </w:p>
    <w:p>
      <w:pPr>
        <w:pStyle w:val="Heading1"/>
      </w:pPr>
      <w:r>
        <w:t>3. Billing Reconciliations &amp; Risk of Appeals Prioritization</w:t>
      </w:r>
    </w:p>
    <w:p>
      <w:r>
        <w:t>We reconciled all active slip billings (1,086 occupied slips) to the applicable rates established in Resolution 2022-06. The expected rate was calculated by rounding up the check-in measurement (vessel LOA) to the nearest foot and multiplying by the respective rate for covered ($10.40) or open ($7.55) slips. The audit identified 67 active accounts with billing discrepancies.</w:t>
      </w:r>
    </w:p>
    <w:p>
      <w:r>
        <w:t>In all 67 anomalous cases, the District is overbilling the tenants, resulting in a total monthly overbilling variance of $5,512.00. This indicates a systematic error where accounts may be billed at the slip's maximum size rather than the vessel's check-in length.</w:t>
      </w:r>
    </w:p>
    <w:p>
      <w:r>
        <w:t>Risk of Appeals Prioritization:</w:t>
        <w:br/>
        <w:t>The systematic overbilling presents a substantial risk of tenant appeals and significant financial liability for retroactive refunds. We recommend the Board prioritize reviewing these 67 accounts immediately. Accounts with the largest negative variances should be addressed first to mitigate escalating legal and financial risk. Communication plans should be prepared to address tenant concerns proactively.</w:t>
      </w:r>
    </w:p>
    <w:p>
      <w:pPr>
        <w:pStyle w:val="Heading1"/>
      </w:pPr>
      <w:r>
        <w:t>4. Accounts Receivable Aging and Revenue Leakage</w:t>
      </w:r>
    </w:p>
    <w:p>
      <w:r>
        <w:t>An analysis of the July 31, 2026 Accounts Receivable aging ledger was conducted to identify severely delinquent active slip holders. We filtered for occupied slips where the tenant is more than 90 days delinquent (exhibiting balances in the &gt;90 or 120+ day buckets).</w:t>
      </w:r>
    </w:p>
    <w:p>
      <w:r>
        <w:t>We identified 6 active slip holders meeting this criteria. The total accumulated balance due from these accounts is $13,166.40. This $13,166.40 represents direct and ongoing revenue leakage. Since these tenants continue to occupy slips without remitting payment, the District is suffering cumulative losses.</w:t>
      </w:r>
    </w:p>
    <w:p>
      <w:r>
        <w:t>We strongly recommend that the Board escalate collection efforts and initiate lease termination procedures for these 6 accounts to staunch further revenue leakage and free up capacity for paying waitlist applicants.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