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Moorage audit: decision memo</w:t>
      </w:r>
    </w:p>
    <w:p>
      <w:pPr>
        <w:pStyle w:val="MemoMeta"/>
      </w:pPr>
      <w:r>
        <w:rPr>
          <w:b/>
        </w:rPr>
        <w:t xml:space="preserve">TO  </w:t>
      </w:r>
      <w:r>
        <w:t>Administrator Ginny Marina and Board of Harbor Commissioners</w:t>
      </w:r>
    </w:p>
    <w:p>
      <w:pPr>
        <w:pStyle w:val="MemoMeta"/>
      </w:pPr>
      <w:r>
        <w:rPr>
          <w:b/>
        </w:rPr>
        <w:t xml:space="preserve">FROM  </w:t>
      </w:r>
      <w:r>
        <w:t>Moorage Counter | August 1, 2026</w:t>
      </w:r>
    </w:p>
    <w:p>
      <w:pPr>
        <w:pStyle w:val="MemoMeta"/>
      </w:pPr>
      <w:r>
        <w:rPr>
          <w:b/>
        </w:rPr>
        <w:t xml:space="preserve">SUBJECT  </w:t>
      </w:r>
      <w:r>
        <w:t>Queue integrity, recurring billing, and July receivables</w:t>
      </w:r>
    </w:p>
    <w:p>
      <w:pPr>
        <w:pStyle w:val="Heading1"/>
      </w:pPr>
      <w:r>
        <w:t>Decision Summary</w:t>
      </w:r>
    </w:p>
    <w:p>
      <w:r>
        <w:rPr>
          <w:b/>
          <w:color w:val="287A55"/>
        </w:rPr>
        <w:t xml:space="preserve">Confirmed July revenue leakage is $0.00 </w:t>
      </w:r>
      <w:r>
        <w:t>across 769 recurring monthly moorage rows. Each row reprices to the governing foot-month rate using the greater of posted slip length and check-in LOA rounded up. This is not a conclusion on every occupied slip: 317 of 1,086 occupied records have no July MONTHLY_MOORAGE row. Their formula-derived tariff basis is $120,158.25 for one month, but the records do not show whether the agreements are annual or prepaid. That amount is unverified coverage, not booked leakage.</w:t>
      </w:r>
    </w:p>
    <w:p>
      <w:r>
        <w:rPr>
          <w:b/>
        </w:rPr>
        <w:t xml:space="preserve">Queue control requires Board attention. </w:t>
      </w:r>
      <w:r>
        <w:t>The dedicated skip register contains 309 events in scope, while the offer export contains 304 skip outcomes. The workbook flags 23 appeal-relevant records: 19 with documentation_attached=N, two where a supplied complete file identifies a different slip than the registered event, one late-support finding, and one vessel-fit finding whose particulars did not establish ineligibility. Nineteen affected applicants remain ACTIVE_WAITLIST, three are RETAINER, and one is EXPIRED.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67D8D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QUEUE EXCEPTIONS</w:t>
            </w:r>
          </w:p>
        </w:tc>
        <w:tc>
          <w:tcPr>
            <w:tcW w:type="dxa" w:w="2592"/>
            <w:shd w:fill="167D8D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VERIFIED LEAKAGE</w:t>
            </w:r>
          </w:p>
        </w:tc>
        <w:tc>
          <w:tcPr>
            <w:tcW w:type="dxa" w:w="2592"/>
            <w:shd w:fill="167D8D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HOLDERS &gt;90 DAYS</w:t>
            </w:r>
          </w:p>
        </w:tc>
        <w:tc>
          <w:tcPr>
            <w:tcW w:type="dxa" w:w="2592"/>
            <w:shd w:fill="167D8D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OVER-90 BALANCE</w:t>
            </w:r>
          </w:p>
        </w:tc>
      </w:tr>
      <w:tr>
        <w:tc>
          <w:tcPr>
            <w:tcW w:type="dxa" w:w="2592"/>
            <w:shd w:fill="E8F4F3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17324D"/>
                <w:sz w:val="28"/>
              </w:rPr>
              <w:t>23</w:t>
            </w:r>
          </w:p>
        </w:tc>
        <w:tc>
          <w:tcPr>
            <w:tcW w:type="dxa" w:w="2592"/>
            <w:shd w:fill="E8F4F3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17324D"/>
                <w:sz w:val="28"/>
              </w:rPr>
              <w:t>$0.00</w:t>
            </w:r>
          </w:p>
        </w:tc>
        <w:tc>
          <w:tcPr>
            <w:tcW w:type="dxa" w:w="2592"/>
            <w:shd w:fill="E8F4F3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17324D"/>
                <w:sz w:val="28"/>
              </w:rPr>
              <w:t>6</w:t>
            </w:r>
          </w:p>
        </w:tc>
        <w:tc>
          <w:tcPr>
            <w:tcW w:type="dxa" w:w="2592"/>
            <w:shd w:fill="E8F4F3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color w:val="17324D"/>
                <w:sz w:val="28"/>
              </w:rPr>
              <w:t>$4,368.00</w:t>
            </w:r>
          </w:p>
        </w:tc>
      </w:tr>
    </w:tbl>
    <w:p>
      <w:pPr>
        <w:pStyle w:val="Heading1"/>
      </w:pPr>
      <w:r>
        <w:t>Audit Basis</w:t>
      </w:r>
    </w:p>
    <w:p>
      <w:r>
        <w:rPr>
          <w:b/>
        </w:rPr>
        <w:t xml:space="preserve">Queue. </w:t>
      </w:r>
      <w:r>
        <w:t>Standing Order 15-3 sections 3.2-3.3 require a same-day cover and reason-specific support. Section 5.1 names the skip event register as a District record, so skip_events_2022_2026.csv governs the population over offer_events_2022_2026.csv. Physical files govern their contents. Where file and register name different slips, the evidence cannot support either identity without the controlling day log. Appeal 2018-3 rejects later reconstruction.</w:t>
      </w:r>
    </w:p>
    <w:p>
      <w:r>
        <w:rPr>
          <w:b/>
        </w:rPr>
        <w:t xml:space="preserve">Length. </w:t>
      </w:r>
      <w:r>
        <w:t>Resolution 2022-06 section 4.3 governs over earlier conflicting rules. Of 200 post-effective LOA amendments through July 31, 2026, 12 lack a qualifying certificate or haul-out sheet. Tracing each amendment until the next LOA entry found no scoped skip using an unsupported length; this category has no use exceptions.</w:t>
      </w:r>
    </w:p>
    <w:p>
      <w:r>
        <w:rPr>
          <w:b/>
        </w:rPr>
        <w:t xml:space="preserve">Billing and aging. </w:t>
      </w:r>
      <w:r>
        <w:t>Tariff Resolution 2019-14 defines billable length; Resolution 2022-06 sets $10.40 per covered foot-month and $7.55 per open foot-month. Aging uses only the 91-120 and 120+ columns in ar_aging_2026-07-31.xlsx, AR_Aging. Six active holders have $4,368.00 more than 90 days overdue and $13,166.40 total due.</w:t>
      </w:r>
    </w:p>
    <w:p>
      <w:r>
        <w:br w:type="page"/>
      </w:r>
    </w:p>
    <w:p>
      <w:pPr>
        <w:pStyle w:val="Heading1"/>
      </w:pPr>
      <w:r>
        <w:t>Appeals Prioritization</w:t>
      </w:r>
    </w:p>
    <w:p>
      <w:r>
        <w:rPr>
          <w:b/>
        </w:rPr>
        <w:t xml:space="preserve">Tier 1 - preserve, reconcile, and decide before the next vacancy. </w:t>
      </w:r>
      <w:r>
        <w:t>Start with WL-02712 because the 2025-Q3 calibration workpaper found the substantive vessel-fit basis invalid: 27.9 feet fit the 28-foot slip. Next address WL-02319 because support was dated three days late. Then reconcile the five registered events whose offer links are absent; files for WL-02618, WL-03044, WL-03390, WL-02877, and WL-03102 either contain no support or identify another slip. These seven records combine merits or identity defects with Appeal 2018-3's contemporaneous-record rule.</w:t>
      </w:r>
    </w:p>
    <w:p>
      <w:r>
        <w:rPr>
          <w:b/>
        </w:rPr>
        <w:t xml:space="preserve">Tier 2 - remaining 16 register-flagged records. </w:t>
      </w:r>
      <w:r>
        <w:t>The skip register expressly records documentation_attached=N. Preserve current rank, retrieve the day log and complete file, and decide prospective relief. Do not use a current applicant-register snapshot to recreate historical eligibility; it is not the date-worked record.</w:t>
      </w:r>
    </w:p>
    <w:p>
      <w:pPr>
        <w:pStyle w:val="Heading1"/>
      </w:pPr>
      <w:r>
        <w:t>Revenue and Collections</w:t>
      </w:r>
    </w:p>
    <w:p>
      <w:r>
        <w:rPr>
          <w:b/>
        </w:rPr>
        <w:t xml:space="preserve">Billing. </w:t>
      </w:r>
      <w:r>
        <w:t>There is no quantified undercharge or overcharge among the 769 testable July rows. To close the $120,158.25 monthly coverage basis, Finance should provide the recurring-charge schedule and agreement term/prepayment status for the 317 occupied slips absent from July monthly transactions. Only confirmed missed charges should be recorded as leakage.</w:t>
      </w:r>
    </w:p>
    <w:p>
      <w:r>
        <w:rPr>
          <w:b/>
        </w:rPr>
        <w:t xml:space="preserve">Receivables. </w:t>
      </w:r>
      <w:r>
        <w:t>Act immediately on Lee Maldonado (LP-0602: $603.20 at 120+, $3,016.00 total due) and Stacey Mitchell (LP-0713: $832.00 at 120+, $2,496.00 total due). Then work Paula Arroyo, Dawn Brown, Andrew Anderson, and Allison Nguyen. The six-account over-90 arithmetic is $2,932.80 + $1,435.20 = $4,368.00.</w:t>
      </w:r>
    </w:p>
    <w:p>
      <w:pPr>
        <w:pStyle w:val="Heading1"/>
      </w:pPr>
      <w:r>
        <w:t>Recommended Board Direction</w:t>
      </w:r>
    </w:p>
    <w:p>
      <w:pPr>
        <w:pStyle w:val="ListNumber"/>
        <w:spacing w:after="40"/>
      </w:pPr>
      <w:r>
        <w:t>Authorize an appeal hold on the 23 queue records and require a disposition for the seven Tier 1 cases before the next matching vacancy.</w:t>
      </w:r>
    </w:p>
    <w:p>
      <w:pPr>
        <w:pStyle w:val="ListNumber"/>
        <w:spacing w:after="40"/>
      </w:pPr>
      <w:r>
        <w:t>Reconcile the five orphan offer links to day logs and flag all 12 unsupported LOA entries so they cannot be used until qualifying support is filed.</w:t>
      </w:r>
    </w:p>
    <w:p>
      <w:pPr>
        <w:pStyle w:val="ListNumber"/>
        <w:spacing w:after="40"/>
      </w:pPr>
      <w:r>
        <w:t>Produce agreement-term and prepayment status for the 317 unscored occupied slips and return with a quantified leakage adjustment, if any.</w:t>
      </w:r>
    </w:p>
    <w:p>
      <w:pPr>
        <w:pStyle w:val="ListNumber"/>
        <w:spacing w:after="40"/>
      </w:pPr>
      <w:r>
        <w:t>Report collections status for the two 120+ accounts and four 91-120 accounts at the next Board meeting.</w:t>
      </w:r>
    </w:p>
    <w:p>
      <w:pPr>
        <w:pStyle w:val="Heading2"/>
      </w:pPr>
      <w:r>
        <w:t>Source Record</w:t>
      </w:r>
    </w:p>
    <w:p>
      <w:pPr>
        <w:pStyle w:val="MemoMeta"/>
      </w:pPr>
      <w:r>
        <w:t>Primary: applicant_register_2026-08.csv; offer_events_2022_2026.csv; skip_events_2022_2026.csv; amendment_log_2022_2026.csv; supplied skip PDFs; slip_inventory_2026-08.csv; billing_transactions_2022_2026.csv; ar_aging_2026-07-31.xlsx (AR_Aging). Governing: tariff_resolution_2019-14.pdf; resolution_2022-06.pdf; standing_order_15-3.pdf; appeal_2018-3_decision.pdf. Corroborating: calibration_scoring_2025-Q3.xlsx and dated scorer notes for WL-02319 and WL-02712. Row-level sourcing is in chaldale_moorage_audit_2026-08.xlsx.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F6F7D"/>
        <w:sz w:val="15"/>
      </w:rPr>
      <w:t xml:space="preserve">CONFIDENTIAL BOARD REVIEW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167D8D"/>
        <w:sz w:val="15"/>
      </w:rPr>
      <w:t>CHALDALE HARBOR DISTRICT | BOARD AUDIT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DejaVu Sans" w:hAnsi="DejaVu Sans" w:eastAsia="DejaVu Sans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67D8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Meta">
    <w:name w:val="Memo Meta"/>
    <w:pPr>
      <w:spacing w:after="40"/>
    </w:pPr>
    <w:rPr>
      <w:rFonts w:ascii="DejaVu Sans" w:hAnsi="DejaVu Sans" w:eastAsia="DejaVu Sans"/>
      <w:color w:val="5F6F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