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Administrator Ginny Marina</w:t>
        <w:br/>
        <w:t>From: Counter Clerk, Chaldale Harbor District</w:t>
        <w:br/>
        <w:t>Date: August 1, 2026</w:t>
        <w:br/>
        <w:t>Subject: Moorage Audit - Revenue Leakage and Risk of Appeals Prioritization</w:t>
      </w:r>
    </w:p>
    <w:p>
      <w:pPr>
        <w:pStyle w:val="Heading1"/>
      </w:pPr>
      <w:r>
        <w:t>Executive Summary</w:t>
      </w:r>
    </w:p>
    <w:p>
      <w:r>
        <w:t>This memo summarizes the findings from the moorage audit conducted for the period of January 1, 2023, through July 31, 2026. The audit covered waiting list queue exceptions and a reconciliation of active slip billings to applicable rates. The findings reveal significant procedural deviations in both areas, which expose the District to financial liabilities and a high risk of applicant and tenant appeals.</w:t>
      </w:r>
    </w:p>
    <w:p>
      <w:pPr>
        <w:pStyle w:val="Heading1"/>
      </w:pPr>
      <w:r>
        <w:t>Billing Reconciliations and Total Revenue Leakage</w:t>
      </w:r>
    </w:p>
    <w:p>
      <w:r>
        <w:t>A comprehensive review of the active slip billings against the check-in measurements was conducted. Resolution 2022-06 mandates that monthly moorage billing be based on the vessel's billable length (dock measurement rounded up to the nearest foot) rather than the slip size. The audit identified 67 active slip holders where this policy is not being followed.</w:t>
      </w:r>
    </w:p>
    <w:p>
      <w:r>
        <w:t>These 67 discrepancies result in systematic overbilling across the non-commercial rate class, yielding a net monthly overcharge of $5,512.00 across the active roster. While not 'leakage' in the form of uncollected revenue, this systemic overcharge represents a critical financial liability for the District. The District must prepare for the likelihood of refunding these amounts to the affected tenants. The full list of discrepancies and dynamic variance calculations are provided in the accompanying 'Billing Reconciliations' worksheet.</w:t>
      </w:r>
    </w:p>
    <w:p>
      <w:pPr>
        <w:pStyle w:val="Heading1"/>
      </w:pPr>
      <w:r>
        <w:t>Queue Exceptions: Bypasses and Uncertified Lengths</w:t>
      </w:r>
    </w:p>
    <w:p>
      <w:r>
        <w:t>The audit reviewed all applicant skips processed during the audit period to ensure compliance with Standing Order 15-3 and Resolution 2022-06 s.4.3. Standing Order 15-3 strictly requires that a skip justification file be assembled with contemporaneous proof of eligibility on the day the slip is worked. The audit uncovered 19 bypasses where skips were entered without any supporting documentation attached to the justification file.</w:t>
      </w:r>
    </w:p>
    <w:p>
      <w:r>
        <w:t>Additionally, one applicant (WL-02085) successfully utilized an uncertified vessel length amendment to qualify for an offer, directly violating Resolution 2022-06 s.4.3, which prohibits the use of uncertified amendments for qualifying or disqualifying an applicant. These procedural failures compromise the integrity of the Schedule C skip process.</w:t>
      </w:r>
    </w:p>
    <w:p>
      <w:pPr>
        <w:pStyle w:val="Heading1"/>
      </w:pPr>
      <w:r>
        <w:t>Risk of Appeals Prioritization</w:t>
      </w:r>
    </w:p>
    <w:p>
      <w:r>
        <w:t xml:space="preserve">Due to these findings, there is a significant risk that the Board will need to prioritize a wave of upcoming appeals. The 19 applicants who were skipped without contemporaneous proof of ineligibility, as well as those bypassed by the offer made based on an uncertified vessel length, have strong grounds to appeal their placement and demand immediate rectification. </w:t>
      </w:r>
    </w:p>
    <w:p>
      <w:r>
        <w:t>Furthermore, the 67 tenants who have been overbilled are highly likely to appeal their billing statements once the discrepancy is discovered. The Board should anticipate prioritizing the resolution of these billing errors and determining a clear refund policy. I strongly recommend that the District proactively correct the active billings to match the established check-in measurements and initiate a review of historical overpayments before formal appeals are filed. Addressing these issues pre-emptively will mitigate the volume of formal appeals and reduce the administrative burden on the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