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</w:pPr>
      <w:r>
        <w:rPr>
          <w:rFonts w:ascii="Noto Sans" w:hAnsi="Noto Sans"/>
          <w:b/>
          <w:color w:val="18324B"/>
          <w:sz w:val="36"/>
        </w:rPr>
        <w:t>Moorage audit: revenue exposure and appeal risk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9720"/>
      </w:tblGrid>
      <w:tr>
        <w:trPr>
          <w:cantSplit/>
        </w:trPr>
        <w:tc>
          <w:tcPr>
            <w:tcW w:type="dxa" w:w="5227"/>
            <w:shd w:fill="EAF1F6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" w:hAnsi="Noto Sans"/>
                <w:b/>
                <w:color w:val="0F6B6D"/>
                <w:sz w:val="16"/>
              </w:rPr>
              <w:t>TO</w:t>
            </w:r>
          </w:p>
        </w:tc>
        <w:tc>
          <w:tcPr>
            <w:tcW w:type="dxa" w:w="5227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" w:hAnsi="Noto Sans"/>
                <w:color w:val="243746"/>
                <w:sz w:val="16"/>
              </w:rPr>
              <w:t>Administrator Ginny Marina; Board of Harbor Commissioners</w:t>
            </w:r>
          </w:p>
        </w:tc>
      </w:tr>
      <w:tr>
        <w:trPr>
          <w:cantSplit/>
        </w:trPr>
        <w:tc>
          <w:tcPr>
            <w:tcW w:type="dxa" w:w="5227"/>
            <w:shd w:fill="EAF1F6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" w:hAnsi="Noto Sans"/>
                <w:b/>
                <w:color w:val="0F6B6D"/>
                <w:sz w:val="16"/>
              </w:rPr>
              <w:t>FROM</w:t>
            </w:r>
          </w:p>
        </w:tc>
        <w:tc>
          <w:tcPr>
            <w:tcW w:type="dxa" w:w="5227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" w:hAnsi="Noto Sans"/>
                <w:color w:val="243746"/>
                <w:sz w:val="16"/>
              </w:rPr>
              <w:t>Moorage Counter - audit workpaper</w:t>
            </w:r>
          </w:p>
        </w:tc>
      </w:tr>
      <w:tr>
        <w:trPr>
          <w:cantSplit/>
        </w:trPr>
        <w:tc>
          <w:tcPr>
            <w:tcW w:type="dxa" w:w="5227"/>
            <w:shd w:fill="EAF1F6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" w:hAnsi="Noto Sans"/>
                <w:b/>
                <w:color w:val="0F6B6D"/>
                <w:sz w:val="16"/>
              </w:rPr>
              <w:t>DATE</w:t>
            </w:r>
          </w:p>
        </w:tc>
        <w:tc>
          <w:tcPr>
            <w:tcW w:type="dxa" w:w="5227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" w:hAnsi="Noto Sans"/>
                <w:color w:val="243746"/>
                <w:sz w:val="16"/>
              </w:rPr>
              <w:t>1 August 2026</w:t>
            </w:r>
          </w:p>
        </w:tc>
      </w:tr>
      <w:tr>
        <w:trPr>
          <w:cantSplit/>
        </w:trPr>
        <w:tc>
          <w:tcPr>
            <w:tcW w:type="dxa" w:w="5227"/>
            <w:shd w:fill="EAF1F6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" w:hAnsi="Noto Sans"/>
                <w:b/>
                <w:color w:val="0F6B6D"/>
                <w:sz w:val="16"/>
              </w:rPr>
              <w:t>SUBJECT</w:t>
            </w:r>
          </w:p>
        </w:tc>
        <w:tc>
          <w:tcPr>
            <w:tcW w:type="dxa" w:w="5227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" w:hAnsi="Noto Sans"/>
                <w:color w:val="243746"/>
                <w:sz w:val="16"/>
              </w:rPr>
              <w:t>Queue integrity, active billing, and July receivables aging</w:t>
            </w:r>
          </w:p>
        </w:tc>
      </w:tr>
    </w:tbl>
    <w:p>
      <w:pPr>
        <w:keepNext/>
        <w:spacing w:before="100" w:after="40"/>
      </w:pPr>
      <w:r>
        <w:rPr>
          <w:rFonts w:ascii="Noto Sans" w:hAnsi="Noto Sans"/>
          <w:b/>
          <w:color w:val="0F6B6D"/>
          <w:sz w:val="22"/>
        </w:rPr>
        <w:t>Decision requested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72"/>
      </w:tblGrid>
      <w:tr>
        <w:tc>
          <w:tcPr>
            <w:tcW w:type="dxa" w:w="10454"/>
            <w:shd w:fill="FFF4D6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Noto Sans" w:hAnsi="Noto Sans"/>
                <w:b/>
                <w:color w:val="243746"/>
                <w:sz w:val="18"/>
              </w:rPr>
              <w:t>Authorize a 30-day control response: reconcile the complete July billing and aging populations, freeze use of unsupported LOA amendments, reconstruct the highest-risk files, and adopt an appeal triage protocol.</w:t>
            </w:r>
          </w:p>
        </w:tc>
      </w:tr>
    </w:tbl>
    <w:p>
      <w:pPr>
        <w:keepNext/>
        <w:spacing w:before="100" w:after="40"/>
      </w:pPr>
      <w:r>
        <w:rPr>
          <w:rFonts w:ascii="Noto Sans" w:hAnsi="Noto Sans"/>
          <w:b/>
          <w:color w:val="0F6B6D"/>
          <w:sz w:val="22"/>
        </w:rPr>
        <w:t>Bottom line</w:t>
      </w:r>
    </w:p>
    <w:p>
      <w:pPr>
        <w:spacing w:before="0" w:after="60" w:line="240" w:lineRule="auto"/>
      </w:pPr>
      <w:r>
        <w:rPr>
          <w:rFonts w:ascii="Noto Sans" w:hAnsi="Noto Sans"/>
          <w:color w:val="243746"/>
          <w:sz w:val="17"/>
        </w:rPr>
        <w:t>The supplied July billing export records $319,760.05 of base moorage against $439,918.30 expected from the 1,086 occupied-slip inventory. The difference is $120,158.25 per month; annualized at 12 months, $1,441,899.00. This is a control exposure, not yet a confirmed general-ledger loss, because the export stops after GW-0501 and omits 317 occupied slips.</w:t>
      </w:r>
    </w:p>
    <w:p>
      <w:pPr>
        <w:spacing w:before="0" w:after="60" w:line="240" w:lineRule="auto"/>
      </w:pPr>
      <w:r>
        <w:rPr>
          <w:rFonts w:ascii="Noto Sans" w:hAnsi="Noto Sans"/>
          <w:color w:val="243746"/>
          <w:sz w:val="17"/>
        </w:rPr>
        <w:t>Queue testing found 19 dated skips without the contemporaneous proof required by Standing Order 15-3. The amendment log also contains 11 unsupported LOA entries; the available records establish no conclusive downstream use, but two cases require immediate reconstruction. Appeal 2018-3 places the burden on the District and does not allow later-created support to cure a deficient skip file.</w:t>
      </w:r>
    </w:p>
    <w:p>
      <w:pPr>
        <w:keepNext/>
        <w:spacing w:before="100" w:after="40"/>
      </w:pPr>
      <w:r>
        <w:rPr>
          <w:rFonts w:ascii="Noto Sans" w:hAnsi="Noto Sans"/>
          <w:b/>
          <w:color w:val="0F6B6D"/>
          <w:sz w:val="22"/>
        </w:rPr>
        <w:t>Results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613"/>
            <w:shd w:fill="18324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2189"/>
            <w:shd w:fill="18324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5"/>
              </w:rPr>
              <w:t>Population</w:t>
            </w:r>
          </w:p>
        </w:tc>
        <w:tc>
          <w:tcPr>
            <w:tcW w:type="dxa" w:w="3082"/>
            <w:shd w:fill="18324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5"/>
              </w:rPr>
              <w:t>Exception</w:t>
            </w:r>
          </w:p>
        </w:tc>
        <w:tc>
          <w:tcPr>
            <w:tcW w:type="dxa" w:w="3989"/>
            <w:shd w:fill="18324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5"/>
              </w:rPr>
              <w:t>Board significance</w:t>
            </w:r>
          </w:p>
        </w:tc>
      </w:tr>
      <w:tr>
        <w:trPr>
          <w:cantSplit/>
        </w:trPr>
        <w:tc>
          <w:tcPr>
            <w:tcW w:type="dxa" w:w="1613"/>
            <w:tcMar>
              <w:top w:w="60" w:type="dxa"/>
              <w:start w:w="75" w:type="dxa"/>
              <w:bottom w:w="60" w:type="dxa"/>
              <w:end w:w="75" w:type="dxa"/>
            </w:tcMar>
            <w:shd w:fill="F5F8FA"/>
            <w:vAlign w:val="center"/>
          </w:tcPr>
          <w:p>
            <w:pPr>
              <w:spacing w:after="0" w:line="228" w:lineRule="auto"/>
            </w:pPr>
            <w:r>
              <w:rPr>
                <w:rFonts w:ascii="Noto Sans" w:hAnsi="Noto Sans"/>
                <w:color w:val="243746"/>
                <w:sz w:val="14"/>
              </w:rPr>
              <w:t>Queue</w:t>
            </w:r>
          </w:p>
        </w:tc>
        <w:tc>
          <w:tcPr>
            <w:tcW w:type="dxa" w:w="2189"/>
            <w:tcMar>
              <w:top w:w="60" w:type="dxa"/>
              <w:start w:w="75" w:type="dxa"/>
              <w:bottom w:w="60" w:type="dxa"/>
              <w:end w:w="75" w:type="dxa"/>
            </w:tcMar>
            <w:shd w:fill="F5F8FA"/>
            <w:vAlign w:val="center"/>
          </w:tcPr>
          <w:p>
            <w:pPr>
              <w:spacing w:after="0" w:line="228" w:lineRule="auto"/>
            </w:pPr>
            <w:r>
              <w:rPr>
                <w:rFonts w:ascii="Noto Sans" w:hAnsi="Noto Sans"/>
                <w:color w:val="243746"/>
                <w:sz w:val="14"/>
              </w:rPr>
              <w:t>309 dated skips</w:t>
            </w:r>
          </w:p>
        </w:tc>
        <w:tc>
          <w:tcPr>
            <w:tcW w:type="dxa" w:w="3082"/>
            <w:tcMar>
              <w:top w:w="60" w:type="dxa"/>
              <w:start w:w="75" w:type="dxa"/>
              <w:bottom w:w="60" w:type="dxa"/>
              <w:end w:w="75" w:type="dxa"/>
            </w:tcMar>
            <w:shd w:fill="F5F8FA"/>
            <w:vAlign w:val="center"/>
          </w:tcPr>
          <w:p>
            <w:pPr>
              <w:spacing w:after="0" w:line="228" w:lineRule="auto"/>
            </w:pPr>
            <w:r>
              <w:rPr>
                <w:rFonts w:ascii="Noto Sans" w:hAnsi="Noto Sans"/>
                <w:color w:val="243746"/>
                <w:sz w:val="14"/>
              </w:rPr>
              <w:t>19 lack same-day proof; 3 also have orphan/conflicting offer records</w:t>
            </w:r>
          </w:p>
        </w:tc>
        <w:tc>
          <w:tcPr>
            <w:tcW w:type="dxa" w:w="3989"/>
            <w:tcMar>
              <w:top w:w="60" w:type="dxa"/>
              <w:start w:w="75" w:type="dxa"/>
              <w:bottom w:w="60" w:type="dxa"/>
              <w:end w:w="75" w:type="dxa"/>
            </w:tcMar>
            <w:shd w:fill="F5F8FA"/>
            <w:vAlign w:val="center"/>
          </w:tcPr>
          <w:p>
            <w:pPr>
              <w:spacing w:after="0" w:line="228" w:lineRule="auto"/>
            </w:pPr>
            <w:r>
              <w:rPr>
                <w:rFonts w:ascii="Noto Sans" w:hAnsi="Noto Sans"/>
                <w:color w:val="243746"/>
                <w:sz w:val="14"/>
              </w:rPr>
              <w:t>Direct appeal exposure; later review does not cure the record</w:t>
            </w:r>
          </w:p>
        </w:tc>
      </w:tr>
      <w:tr>
        <w:trPr>
          <w:cantSplit/>
        </w:trPr>
        <w:tc>
          <w:tcPr>
            <w:tcW w:type="dxa" w:w="1613"/>
            <w:tcMar>
              <w:top w:w="60" w:type="dxa"/>
              <w:start w:w="75" w:type="dxa"/>
              <w:bottom w:w="60" w:type="dxa"/>
              <w:end w:w="75" w:type="dxa"/>
            </w:tcMar>
            <w:shd w:fill="FFFFFF"/>
            <w:vAlign w:val="center"/>
          </w:tcPr>
          <w:p>
            <w:pPr>
              <w:spacing w:after="0" w:line="228" w:lineRule="auto"/>
            </w:pPr>
            <w:r>
              <w:rPr>
                <w:rFonts w:ascii="Noto Sans" w:hAnsi="Noto Sans"/>
                <w:color w:val="243746"/>
                <w:sz w:val="14"/>
              </w:rPr>
              <w:t>LOA</w:t>
            </w:r>
          </w:p>
        </w:tc>
        <w:tc>
          <w:tcPr>
            <w:tcW w:type="dxa" w:w="2189"/>
            <w:tcMar>
              <w:top w:w="60" w:type="dxa"/>
              <w:start w:w="75" w:type="dxa"/>
              <w:bottom w:w="60" w:type="dxa"/>
              <w:end w:w="75" w:type="dxa"/>
            </w:tcMar>
            <w:shd w:fill="FFFFFF"/>
            <w:vAlign w:val="center"/>
          </w:tcPr>
          <w:p>
            <w:pPr>
              <w:spacing w:after="0" w:line="228" w:lineRule="auto"/>
            </w:pPr>
            <w:r>
              <w:rPr>
                <w:rFonts w:ascii="Noto Sans" w:hAnsi="Noto Sans"/>
                <w:color w:val="243746"/>
                <w:sz w:val="14"/>
              </w:rPr>
              <w:t>176 amendments</w:t>
            </w:r>
          </w:p>
        </w:tc>
        <w:tc>
          <w:tcPr>
            <w:tcW w:type="dxa" w:w="3082"/>
            <w:tcMar>
              <w:top w:w="60" w:type="dxa"/>
              <w:start w:w="75" w:type="dxa"/>
              <w:bottom w:w="60" w:type="dxa"/>
              <w:end w:w="75" w:type="dxa"/>
            </w:tcMar>
            <w:shd w:fill="FFFFFF"/>
            <w:vAlign w:val="center"/>
          </w:tcPr>
          <w:p>
            <w:pPr>
              <w:spacing w:after="0" w:line="228" w:lineRule="auto"/>
            </w:pPr>
            <w:r>
              <w:rPr>
                <w:rFonts w:ascii="Noto Sans" w:hAnsi="Noto Sans"/>
                <w:color w:val="243746"/>
                <w:sz w:val="14"/>
              </w:rPr>
              <w:t>11 unsupported; 2 downstream-use cases unresolved</w:t>
            </w:r>
          </w:p>
        </w:tc>
        <w:tc>
          <w:tcPr>
            <w:tcW w:type="dxa" w:w="3989"/>
            <w:tcMar>
              <w:top w:w="60" w:type="dxa"/>
              <w:start w:w="75" w:type="dxa"/>
              <w:bottom w:w="60" w:type="dxa"/>
              <w:end w:w="75" w:type="dxa"/>
            </w:tcMar>
            <w:shd w:fill="FFFFFF"/>
            <w:vAlign w:val="center"/>
          </w:tcPr>
          <w:p>
            <w:pPr>
              <w:spacing w:after="0" w:line="228" w:lineRule="auto"/>
            </w:pPr>
            <w:r>
              <w:rPr>
                <w:rFonts w:ascii="Noto Sans" w:hAnsi="Noto Sans"/>
                <w:color w:val="243746"/>
                <w:sz w:val="14"/>
              </w:rPr>
              <w:t>Stop use and reconstruct files before another offer or rate decision</w:t>
            </w:r>
          </w:p>
        </w:tc>
      </w:tr>
      <w:tr>
        <w:trPr>
          <w:cantSplit/>
        </w:trPr>
        <w:tc>
          <w:tcPr>
            <w:tcW w:type="dxa" w:w="1613"/>
            <w:tcMar>
              <w:top w:w="60" w:type="dxa"/>
              <w:start w:w="75" w:type="dxa"/>
              <w:bottom w:w="60" w:type="dxa"/>
              <w:end w:w="75" w:type="dxa"/>
            </w:tcMar>
            <w:shd w:fill="F5F8FA"/>
            <w:vAlign w:val="center"/>
          </w:tcPr>
          <w:p>
            <w:pPr>
              <w:spacing w:after="0" w:line="228" w:lineRule="auto"/>
            </w:pPr>
            <w:r>
              <w:rPr>
                <w:rFonts w:ascii="Noto Sans" w:hAnsi="Noto Sans"/>
                <w:color w:val="243746"/>
                <w:sz w:val="14"/>
              </w:rPr>
              <w:t>Billing</w:t>
            </w:r>
          </w:p>
        </w:tc>
        <w:tc>
          <w:tcPr>
            <w:tcW w:type="dxa" w:w="2189"/>
            <w:tcMar>
              <w:top w:w="60" w:type="dxa"/>
              <w:start w:w="75" w:type="dxa"/>
              <w:bottom w:w="60" w:type="dxa"/>
              <w:end w:w="75" w:type="dxa"/>
            </w:tcMar>
            <w:shd w:fill="F5F8FA"/>
            <w:vAlign w:val="center"/>
          </w:tcPr>
          <w:p>
            <w:pPr>
              <w:spacing w:after="0" w:line="228" w:lineRule="auto"/>
            </w:pPr>
            <w:r>
              <w:rPr>
                <w:rFonts w:ascii="Noto Sans" w:hAnsi="Noto Sans"/>
                <w:color w:val="243746"/>
                <w:sz w:val="14"/>
              </w:rPr>
              <w:t>1,086 occupied</w:t>
            </w:r>
          </w:p>
        </w:tc>
        <w:tc>
          <w:tcPr>
            <w:tcW w:type="dxa" w:w="3082"/>
            <w:tcMar>
              <w:top w:w="60" w:type="dxa"/>
              <w:start w:w="75" w:type="dxa"/>
              <w:bottom w:w="60" w:type="dxa"/>
              <w:end w:w="75" w:type="dxa"/>
            </w:tcMar>
            <w:shd w:fill="F5F8FA"/>
            <w:vAlign w:val="center"/>
          </w:tcPr>
          <w:p>
            <w:pPr>
              <w:spacing w:after="0" w:line="228" w:lineRule="auto"/>
            </w:pPr>
            <w:r>
              <w:rPr>
                <w:rFonts w:ascii="Noto Sans" w:hAnsi="Noto Sans"/>
                <w:color w:val="243746"/>
                <w:sz w:val="14"/>
              </w:rPr>
              <w:t>317 have no July line in supplied export</w:t>
            </w:r>
          </w:p>
        </w:tc>
        <w:tc>
          <w:tcPr>
            <w:tcW w:type="dxa" w:w="3989"/>
            <w:tcMar>
              <w:top w:w="60" w:type="dxa"/>
              <w:start w:w="75" w:type="dxa"/>
              <w:bottom w:w="60" w:type="dxa"/>
              <w:end w:w="75" w:type="dxa"/>
            </w:tcMar>
            <w:shd w:fill="F5F8FA"/>
            <w:vAlign w:val="center"/>
          </w:tcPr>
          <w:p>
            <w:pPr>
              <w:spacing w:after="0" w:line="228" w:lineRule="auto"/>
            </w:pPr>
            <w:r>
              <w:rPr>
                <w:rFonts w:ascii="Noto Sans" w:hAnsi="Noto Sans"/>
                <w:color w:val="243746"/>
                <w:sz w:val="14"/>
              </w:rPr>
              <w:t>$120,158.25/month base exposure; 769 exported lines calculate correctly</w:t>
            </w:r>
          </w:p>
        </w:tc>
      </w:tr>
      <w:tr>
        <w:trPr>
          <w:cantSplit/>
        </w:trPr>
        <w:tc>
          <w:tcPr>
            <w:tcW w:type="dxa" w:w="1613"/>
            <w:tcMar>
              <w:top w:w="60" w:type="dxa"/>
              <w:start w:w="75" w:type="dxa"/>
              <w:bottom w:w="60" w:type="dxa"/>
              <w:end w:w="75" w:type="dxa"/>
            </w:tcMar>
            <w:shd w:fill="FFFFFF"/>
            <w:vAlign w:val="center"/>
          </w:tcPr>
          <w:p>
            <w:pPr>
              <w:spacing w:after="0" w:line="228" w:lineRule="auto"/>
            </w:pPr>
            <w:r>
              <w:rPr>
                <w:rFonts w:ascii="Noto Sans" w:hAnsi="Noto Sans"/>
                <w:color w:val="243746"/>
                <w:sz w:val="14"/>
              </w:rPr>
              <w:t>Aging</w:t>
            </w:r>
          </w:p>
        </w:tc>
        <w:tc>
          <w:tcPr>
            <w:tcW w:type="dxa" w:w="2189"/>
            <w:tcMar>
              <w:top w:w="60" w:type="dxa"/>
              <w:start w:w="75" w:type="dxa"/>
              <w:bottom w:w="60" w:type="dxa"/>
              <w:end w:w="75" w:type="dxa"/>
            </w:tcMar>
            <w:shd w:fill="FFFFFF"/>
            <w:vAlign w:val="center"/>
          </w:tcPr>
          <w:p>
            <w:pPr>
              <w:spacing w:after="0" w:line="228" w:lineRule="auto"/>
            </w:pPr>
            <w:r>
              <w:rPr>
                <w:rFonts w:ascii="Noto Sans" w:hAnsi="Noto Sans"/>
                <w:color w:val="243746"/>
                <w:sz w:val="14"/>
              </w:rPr>
              <w:t>260 accounts supplied</w:t>
            </w:r>
          </w:p>
        </w:tc>
        <w:tc>
          <w:tcPr>
            <w:tcW w:type="dxa" w:w="3082"/>
            <w:tcMar>
              <w:top w:w="60" w:type="dxa"/>
              <w:start w:w="75" w:type="dxa"/>
              <w:bottom w:w="60" w:type="dxa"/>
              <w:end w:w="75" w:type="dxa"/>
            </w:tcMar>
            <w:shd w:fill="FFFFFF"/>
            <w:vAlign w:val="center"/>
          </w:tcPr>
          <w:p>
            <w:pPr>
              <w:spacing w:after="0" w:line="228" w:lineRule="auto"/>
            </w:pPr>
            <w:r>
              <w:rPr>
                <w:rFonts w:ascii="Noto Sans" w:hAnsi="Noto Sans"/>
                <w:color w:val="243746"/>
                <w:sz w:val="14"/>
              </w:rPr>
              <w:t>6 holders; $4,368.00 more than 90 days</w:t>
            </w:r>
          </w:p>
        </w:tc>
        <w:tc>
          <w:tcPr>
            <w:tcW w:type="dxa" w:w="3989"/>
            <w:tcMar>
              <w:top w:w="60" w:type="dxa"/>
              <w:start w:w="75" w:type="dxa"/>
              <w:bottom w:w="60" w:type="dxa"/>
              <w:end w:w="75" w:type="dxa"/>
            </w:tcMar>
            <w:shd w:fill="FFFFFF"/>
            <w:vAlign w:val="center"/>
          </w:tcPr>
          <w:p>
            <w:pPr>
              <w:spacing w:after="0" w:line="228" w:lineRule="auto"/>
            </w:pPr>
            <w:r>
              <w:rPr>
                <w:rFonts w:ascii="Noto Sans" w:hAnsi="Noto Sans"/>
                <w:color w:val="243746"/>
                <w:sz w:val="14"/>
              </w:rPr>
              <w:t>Ledger omits 826 occupied accounts; no district-wide conclusion</w:t>
            </w:r>
          </w:p>
        </w:tc>
      </w:tr>
    </w:tbl>
    <w:p>
      <w:pPr>
        <w:keepNext/>
        <w:spacing w:before="100" w:after="40"/>
      </w:pPr>
      <w:r>
        <w:rPr>
          <w:rFonts w:ascii="Noto Sans" w:hAnsi="Noto Sans"/>
          <w:b/>
          <w:color w:val="0F6B6D"/>
          <w:sz w:val="22"/>
        </w:rPr>
        <w:t>Revenue exposure</w:t>
      </w:r>
    </w:p>
    <w:p>
      <w:pPr>
        <w:spacing w:before="0" w:after="0" w:line="240" w:lineRule="auto"/>
      </w:pPr>
      <w:r>
        <w:rPr>
          <w:rFonts w:ascii="Noto Sans" w:hAnsi="Noto Sans"/>
          <w:color w:val="243746"/>
          <w:sz w:val="16"/>
        </w:rPr>
        <w:t>The base-moorage arithmetic is $439,918.30 expected - $319,760.05 exported = $120,158.25 monthly; $120,158.25 x 12 = $1,441,899.00 annualized. Nominal slip lengths alone produce a $99,629.80 monthly lower bound for the 317 missing lines. A separate $12,281.34 monthly potential commercial-class uplift is not included because current signed rate-class agreements were not supplied. Taxes, electricity, late fees, liveaboard charges, and historical loss are also excluded.</w:t>
      </w:r>
    </w:p>
    <w:p>
      <w:r>
        <w:br w:type="page"/>
      </w:r>
    </w:p>
    <w:p>
      <w:pPr>
        <w:spacing w:after="60"/>
      </w:pPr>
      <w:r>
        <w:rPr>
          <w:rFonts w:ascii="Noto Sans" w:hAnsi="Noto Sans"/>
          <w:b/>
          <w:color w:val="18324B"/>
          <w:sz w:val="34"/>
        </w:rPr>
        <w:t>Appeal risk and Board priorities</w:t>
      </w:r>
    </w:p>
    <w:p>
      <w:pPr>
        <w:spacing w:before="0" w:after="60" w:line="240" w:lineRule="auto"/>
      </w:pPr>
      <w:r>
        <w:rPr>
          <w:rFonts w:ascii="Noto Sans" w:hAnsi="Noto Sans"/>
          <w:color w:val="243746"/>
          <w:sz w:val="16"/>
        </w:rPr>
        <w:t>Standing Order 15-3 sections 3.2-3.3 requires the supporting record on the day a slip is worked. Appeal 2018-3, page 2, makes that contemporaneous file controlling and assigns the burden to the District. Resolution 2022-06 section 4.3 separately bars use of an unsupported LOA amendment to qualify or disqualify an applicant.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699"/>
            <w:shd w:fill="0F6B6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4104"/>
            <w:shd w:fill="0F6B6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5"/>
              </w:rPr>
              <w:t>Cases</w:t>
            </w:r>
          </w:p>
        </w:tc>
        <w:tc>
          <w:tcPr>
            <w:tcW w:type="dxa" w:w="5040"/>
            <w:shd w:fill="0F6B6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b/>
                <w:color w:val="FFFFFF"/>
                <w:sz w:val="15"/>
              </w:rPr>
              <w:t>Required response</w:t>
            </w:r>
          </w:p>
        </w:tc>
      </w:tr>
      <w:tr>
        <w:trPr>
          <w:cantSplit/>
        </w:trPr>
        <w:tc>
          <w:tcPr>
            <w:tcW w:type="dxa" w:w="1699"/>
            <w:tcMar>
              <w:top w:w="75" w:type="dxa"/>
              <w:start w:w="85" w:type="dxa"/>
              <w:bottom w:w="75" w:type="dxa"/>
              <w:end w:w="85" w:type="dxa"/>
            </w:tcMar>
            <w:shd w:fill="FFF4D6"/>
            <w:vAlign w:val="top"/>
          </w:tcPr>
          <w:p>
            <w:pPr>
              <w:spacing w:after="0" w:line="228" w:lineRule="auto"/>
            </w:pPr>
            <w:r>
              <w:rPr>
                <w:rFonts w:ascii="Noto Sans" w:hAnsi="Noto Sans"/>
                <w:b/>
                <w:color w:val="243746"/>
                <w:sz w:val="15"/>
              </w:rPr>
              <w:t>1 - immediate</w:t>
            </w:r>
          </w:p>
        </w:tc>
        <w:tc>
          <w:tcPr>
            <w:tcW w:type="dxa" w:w="4104"/>
            <w:tcMar>
              <w:top w:w="75" w:type="dxa"/>
              <w:start w:w="85" w:type="dxa"/>
              <w:bottom w:w="75" w:type="dxa"/>
              <w:end w:w="85" w:type="dxa"/>
            </w:tcMar>
            <w:shd w:fill="FFF4D6"/>
            <w:vAlign w:val="top"/>
          </w:tcPr>
          <w:p>
            <w:pPr>
              <w:spacing w:after="0" w:line="228" w:lineRule="auto"/>
            </w:pPr>
            <w:r>
              <w:rPr>
                <w:rFonts w:ascii="Noto Sans" w:hAnsi="Noto Sans"/>
                <w:color w:val="243746"/>
                <w:sz w:val="15"/>
              </w:rPr>
              <w:t>Seven items: orphan/conflicting skips WL-02618, WL-03044, WL-03390; unresolved LOA-use cases WL-01999 and WL-02085; undated omission leads WL-02319 and WL-02712.</w:t>
            </w:r>
          </w:p>
        </w:tc>
        <w:tc>
          <w:tcPr>
            <w:tcW w:type="dxa" w:w="5040"/>
            <w:tcMar>
              <w:top w:w="75" w:type="dxa"/>
              <w:start w:w="85" w:type="dxa"/>
              <w:bottom w:w="75" w:type="dxa"/>
              <w:end w:w="85" w:type="dxa"/>
            </w:tcMar>
            <w:shd w:fill="FFF4D6"/>
            <w:vAlign w:val="top"/>
          </w:tcPr>
          <w:p>
            <w:pPr>
              <w:spacing w:after="0" w:line="228" w:lineRule="auto"/>
            </w:pPr>
            <w:r>
              <w:rPr>
                <w:rFonts w:ascii="Noto Sans" w:hAnsi="Noto Sans"/>
                <w:color w:val="243746"/>
                <w:sz w:val="15"/>
              </w:rPr>
              <w:t>Preserve logs and system records; obtain the historical register snapshot, offer worksheet, agreement, and actual skip file. Route any active complaint to counsel before making representations on the merits.</w:t>
            </w:r>
          </w:p>
        </w:tc>
      </w:tr>
      <w:tr>
        <w:trPr>
          <w:cantSplit/>
        </w:trPr>
        <w:tc>
          <w:tcPr>
            <w:tcW w:type="dxa" w:w="1699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  <w:vAlign w:val="top"/>
          </w:tcPr>
          <w:p>
            <w:pPr>
              <w:spacing w:after="0" w:line="228" w:lineRule="auto"/>
            </w:pPr>
            <w:r>
              <w:rPr>
                <w:rFonts w:ascii="Noto Sans" w:hAnsi="Noto Sans"/>
                <w:b/>
                <w:color w:val="243746"/>
                <w:sz w:val="15"/>
              </w:rPr>
              <w:t>2 - appeal ready</w:t>
            </w:r>
          </w:p>
        </w:tc>
        <w:tc>
          <w:tcPr>
            <w:tcW w:type="dxa" w:w="4104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  <w:vAlign w:val="top"/>
          </w:tcPr>
          <w:p>
            <w:pPr>
              <w:spacing w:after="0" w:line="228" w:lineRule="auto"/>
            </w:pPr>
            <w:r>
              <w:rPr>
                <w:rFonts w:ascii="Noto Sans" w:hAnsi="Noto Sans"/>
                <w:color w:val="243746"/>
                <w:sz w:val="15"/>
              </w:rPr>
              <w:t>The other 16 dated skip exceptions have matching offer events but no required contemporaneous proof in the skip export.</w:t>
            </w:r>
          </w:p>
        </w:tc>
        <w:tc>
          <w:tcPr>
            <w:tcW w:type="dxa" w:w="5040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  <w:vAlign w:val="top"/>
          </w:tcPr>
          <w:p>
            <w:pPr>
              <w:spacing w:after="0" w:line="228" w:lineRule="auto"/>
            </w:pPr>
            <w:r>
              <w:rPr>
                <w:rFonts w:ascii="Noto Sans" w:hAnsi="Noto Sans"/>
                <w:color w:val="243746"/>
                <w:sz w:val="15"/>
              </w:rPr>
              <w:t>Build an appeal inventory, identify whether assignments are complete, and apply the prospective remedy framework in Appeal 2018-3. Do not treat later review as a cure.</w:t>
            </w:r>
          </w:p>
        </w:tc>
      </w:tr>
      <w:tr>
        <w:trPr>
          <w:cantSplit/>
        </w:trPr>
        <w:tc>
          <w:tcPr>
            <w:tcW w:type="dxa" w:w="1699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after="0" w:line="228" w:lineRule="auto"/>
            </w:pPr>
            <w:r>
              <w:rPr>
                <w:rFonts w:ascii="Noto Sans" w:hAnsi="Noto Sans"/>
                <w:b/>
                <w:color w:val="243746"/>
                <w:sz w:val="15"/>
              </w:rPr>
              <w:t>3 - control repair</w:t>
            </w:r>
          </w:p>
        </w:tc>
        <w:tc>
          <w:tcPr>
            <w:tcW w:type="dxa" w:w="4104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after="0" w:line="228" w:lineRule="auto"/>
            </w:pPr>
            <w:r>
              <w:rPr>
                <w:rFonts w:ascii="Noto Sans" w:hAnsi="Noto Sans"/>
                <w:color w:val="243746"/>
                <w:sz w:val="15"/>
              </w:rPr>
              <w:t>Nine unsupported LOA entries have no downstream use established on supplied records.</w:t>
            </w:r>
          </w:p>
        </w:tc>
        <w:tc>
          <w:tcPr>
            <w:tcW w:type="dxa" w:w="5040"/>
            <w:tcMar>
              <w:top w:w="75" w:type="dxa"/>
              <w:start w:w="85" w:type="dxa"/>
              <w:bottom w:w="75" w:type="dxa"/>
              <w:end w:w="85" w:type="dxa"/>
            </w:tcMar>
            <w:shd w:fill="FFFFFF"/>
            <w:vAlign w:val="top"/>
          </w:tcPr>
          <w:p>
            <w:pPr>
              <w:spacing w:after="0" w:line="228" w:lineRule="auto"/>
            </w:pPr>
            <w:r>
              <w:rPr>
                <w:rFonts w:ascii="Noto Sans" w:hAnsi="Noto Sans"/>
                <w:color w:val="243746"/>
                <w:sz w:val="15"/>
              </w:rPr>
              <w:t>Flag each entry as unusable under Resolution 2022-06 section 6.2, obtain valid support or reverse the entry, and implement a monthly exception report with named-user logging.</w:t>
            </w:r>
          </w:p>
        </w:tc>
      </w:tr>
    </w:tbl>
    <w:p>
      <w:pPr>
        <w:keepNext/>
        <w:spacing w:before="100" w:after="40"/>
      </w:pPr>
      <w:r>
        <w:rPr>
          <w:rFonts w:ascii="Noto Sans" w:hAnsi="Noto Sans"/>
          <w:b/>
          <w:color w:val="0F6B6D"/>
          <w:sz w:val="22"/>
        </w:rPr>
        <w:t>Recommended Board direction</w:t>
      </w:r>
    </w:p>
    <w:p>
      <w:pPr>
        <w:spacing w:after="40" w:line="230" w:lineRule="auto"/>
        <w:ind w:left="259" w:hanging="259"/>
      </w:pPr>
      <w:r>
        <w:rPr>
          <w:rFonts w:ascii="Noto Sans" w:hAnsi="Noto Sans"/>
          <w:b/>
          <w:color w:val="0F6B6D"/>
          <w:sz w:val="16"/>
        </w:rPr>
        <w:t xml:space="preserve">1. </w:t>
      </w:r>
      <w:r>
        <w:rPr>
          <w:rFonts w:ascii="Noto Sans" w:hAnsi="Noto Sans"/>
          <w:sz w:val="16"/>
        </w:rPr>
        <w:t>Direct Finance to produce, within 10 business days, the complete July customer subledger, posting-batch control report, general-ledger moorage detail, and full July aging; reconcile the $120,158.25 monthly exposure before recognizing a loss or issuing refunds.</w:t>
      </w:r>
    </w:p>
    <w:p>
      <w:pPr>
        <w:spacing w:after="40" w:line="230" w:lineRule="auto"/>
        <w:ind w:left="259" w:hanging="259"/>
      </w:pPr>
      <w:r>
        <w:rPr>
          <w:rFonts w:ascii="Noto Sans" w:hAnsi="Noto Sans"/>
          <w:b/>
          <w:color w:val="0F6B6D"/>
          <w:sz w:val="16"/>
        </w:rPr>
        <w:t xml:space="preserve">2. </w:t>
      </w:r>
      <w:r>
        <w:rPr>
          <w:rFonts w:ascii="Noto Sans" w:hAnsi="Noto Sans"/>
          <w:sz w:val="16"/>
        </w:rPr>
        <w:t>Direct Harbor Operations to suspend use of all 11 unsupported LOA amendments and reconstruct the five dated Priority 1 files before the next offer, skip, slip-class, or rate-class decision involving those applicants.</w:t>
      </w:r>
    </w:p>
    <w:p>
      <w:pPr>
        <w:spacing w:after="40" w:line="230" w:lineRule="auto"/>
        <w:ind w:left="259" w:hanging="259"/>
      </w:pPr>
      <w:r>
        <w:rPr>
          <w:rFonts w:ascii="Noto Sans" w:hAnsi="Noto Sans"/>
          <w:b/>
          <w:color w:val="0F6B6D"/>
          <w:sz w:val="16"/>
        </w:rPr>
        <w:t xml:space="preserve">3. </w:t>
      </w:r>
      <w:r>
        <w:rPr>
          <w:rFonts w:ascii="Noto Sans" w:hAnsi="Noto Sans"/>
          <w:sz w:val="16"/>
        </w:rPr>
        <w:t>Direct the Administrator and counsel to maintain a single appeals inventory for the 19 proven skip-file failures and two undated leads, applying Appeal 2018-3 consistently and preserving completed third-party assignments.</w:t>
      </w:r>
    </w:p>
    <w:p>
      <w:pPr>
        <w:spacing w:after="40" w:line="230" w:lineRule="auto"/>
        <w:ind w:left="259" w:hanging="259"/>
      </w:pPr>
      <w:r>
        <w:rPr>
          <w:rFonts w:ascii="Noto Sans" w:hAnsi="Noto Sans"/>
          <w:b/>
          <w:color w:val="0F6B6D"/>
          <w:sz w:val="16"/>
        </w:rPr>
        <w:t xml:space="preserve">4. </w:t>
      </w:r>
      <w:r>
        <w:rPr>
          <w:rFonts w:ascii="Noto Sans" w:hAnsi="Noto Sans"/>
          <w:sz w:val="16"/>
        </w:rPr>
        <w:t>Direct Information Systems to implement named-user amendment logging and automated exception reports for blank support, orphan offer IDs, missing billing lines, covered placements over 40 billable feet, and aging-population completeness.</w:t>
      </w:r>
    </w:p>
    <w:p>
      <w:pPr>
        <w:keepNext/>
        <w:spacing w:before="100" w:after="40"/>
      </w:pPr>
      <w:r>
        <w:rPr>
          <w:rFonts w:ascii="Noto Sans" w:hAnsi="Noto Sans"/>
          <w:b/>
          <w:color w:val="0F6B6D"/>
          <w:sz w:val="22"/>
        </w:rPr>
        <w:t>Caveats and governing record</w:t>
      </w:r>
    </w:p>
    <w:p>
      <w:pPr>
        <w:spacing w:before="0" w:after="60" w:line="240" w:lineRule="auto"/>
      </w:pPr>
      <w:r>
        <w:rPr>
          <w:rFonts w:ascii="Noto Sans" w:hAnsi="Noto Sans"/>
          <w:color w:val="243746"/>
          <w:sz w:val="15"/>
        </w:rPr>
        <w:t>Primary event-level records govern the calculation: the skip, offer, amendment, inventory, applicant, billing, and aging exports. Resolution 2022-06 controls earlier tariff provisions where they conflict. The contemporaneous skip file controls over later summaries or reviews. The August inventory is assumed to describe occupancy on July 31; the source lacks occupancy-effective dates.</w:t>
      </w:r>
    </w:p>
    <w:p>
      <w:pPr>
        <w:spacing w:before="0" w:after="60" w:line="240" w:lineRule="auto"/>
      </w:pPr>
      <w:r>
        <w:rPr>
          <w:rFonts w:ascii="Noto Sans" w:hAnsi="Noto Sans"/>
          <w:color w:val="243746"/>
          <w:sz w:val="15"/>
        </w:rPr>
        <w:t>The 290 dated skips marked supported are clear only on the face of the export; the District supplied actual PDFs for five in-scope files. All 769 exported July billing lines use the correct base rate, upward LOA rounding, and greater-of-slip/LOA rule. Paper check-in measurement blocks and current signed agreements were not supplied, so register agreement and commercial classification remain verification matters.</w:t>
      </w:r>
    </w:p>
    <w:p>
      <w:pPr>
        <w:keepNext/>
        <w:spacing w:before="60" w:after="40"/>
      </w:pPr>
      <w:r>
        <w:rPr>
          <w:rFonts w:ascii="Noto Sans" w:hAnsi="Noto Sans"/>
          <w:b/>
          <w:color w:val="18324B"/>
          <w:sz w:val="19"/>
        </w:rPr>
        <w:t>Source note</w:t>
      </w:r>
    </w:p>
    <w:p>
      <w:pPr>
        <w:spacing w:before="0" w:after="0" w:line="240" w:lineRule="auto"/>
      </w:pPr>
      <w:r>
        <w:rPr>
          <w:rFonts w:ascii="Noto Sans" w:hAnsi="Noto Sans"/>
          <w:color w:val="243746"/>
          <w:sz w:val="14"/>
        </w:rPr>
        <w:t>Workbook detail and formulas: chaldale_moorage_audit_2026-08.xlsx. Governing sources: standing_order_15-3.pdf sections 3.2-4.2; resolution_2022-06.pdf sections 1.1-1.3, 4.3, 6.2, and 7.2; tariff_resolution_2019-14.pdf definition 4 and sections 2.3-2.4/7.3; appeal_2018-3_decision.pdf page 2. Data: applicant_register_2026-08.csv; offer_events_2022_2026.csv; skip_events_2022_2026.csv; amendment_log_2022_2026.csv; slip_inventory_2026-08.csv; billing_transactions_2022_2026.csv; ar_aging_2026-07-31.xlsx, AR_Aging and Summary.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91" w:right="893" w:bottom="691" w:left="893" w:header="317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/>
        <w:color w:val="627484"/>
        <w:sz w:val="14"/>
      </w:rPr>
      <w:t xml:space="preserve">Board review | 1 August 2026 | Page </w:t>
    </w:r>
    <w:r>
      <w:fldChar w:fldCharType="begin"/>
      <w:instrText xml:space="preserve">PAGE</w:instrText>
      <w:fldChar w:fldCharType="end"/>
    </w:r>
    <w:r>
      <w:t xml:space="preserve"> of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1" w:color="0F6B6D"/>
      </w:pBdr>
    </w:pPr>
    <w:r>
      <w:rPr>
        <w:rFonts w:ascii="Noto Sans" w:hAnsi="Noto Sans"/>
        <w:b/>
        <w:color w:val="0F6B6D"/>
        <w:sz w:val="15"/>
      </w:rPr>
      <w:t>CHALDALE HARBOR DISTRICT  |  BOARD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Noto Sans" w:hAnsi="Noto Sans" w:eastAsia="Noto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Moorage Board Memo - August 2026</dc:title>
  <dc:subject>Revenue exposure and appeal risk from moorage audit</dc:subject>
  <dc:creator>Chaldale Harbor District</dc:creator>
  <cp:keywords/>
  <dc:description>Prepared for Administrator Ginny Marina and Board review.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