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Annual Swimming Safety Plan Review - 2025 Season</w:t>
      </w:r>
    </w:p>
    <w:p>
      <w:r>
        <w:rPr>
          <w:b w:val="0"/>
          <w:i/>
        </w:rPr>
        <w:t>KVL Camps Aquatics Standards Department - review completed November 14, 2025</w:t>
      </w:r>
    </w:p>
    <w:p>
      <w:r>
        <w:rPr>
          <w:b w:val="0"/>
          <w:i w:val="0"/>
        </w:rPr>
        <w:t>Prepared by Raquel I. Delgado, Director of Aquatics Standards, with input from the six waterfront directors and the Director of Risk and Compliance. This review satisfies the department's annual obligation to evaluate the swimming safety plan after each season and to carry an open-items list into the next season's planning.</w:t>
      </w:r>
    </w:p>
    <w:p>
      <w:pPr>
        <w:pStyle w:val="Heading1"/>
        <w:pBdr>
          <w:bottom w:val="single" w:sz="6" w:space="2" w:color="4A306D"/>
        </w:pBdr>
      </w:pPr>
      <w:r>
        <w:rPr>
          <w:rFonts w:ascii="Cambria" w:hAnsi="Cambria"/>
          <w:b/>
          <w:color w:val="4A306D"/>
          <w:sz w:val="32"/>
        </w:rPr>
        <w:t>1. Scope of the 2025 review</w:t>
      </w:r>
    </w:p>
    <w:p>
      <w:r>
        <w:rPr>
          <w:b w:val="0"/>
          <w:i w:val="0"/>
        </w:rPr>
        <w:t>The 2025 review covers all six KVL Camps sites - Corrigwell, Loon Hollow, Tamarack Ridge, Bluegill Point, Heron Landing, and Otter Run - across the three-band swim-classification system (nonswimmer / beginner / swimmer), buddy-board supervision, lifeguard rotations at the 1:25 supervision ratio, water-quality practice, incident handling, staff credentials, and recordkeeping. KVL Camps, a nonprofit operator of six residential and day summer camps (aquatics-centered youth recreation), served approximately 4,800 campers in 2025, with Corrigwell carrying roughly 800 campers across its three sessions. The organization's aquatics compliance corpus - certification files, classification rosters, water-quality logs, ratio schedules, licensing instruments, and the insurance file - now stands at 92 controlled documents, and this review sampled from each group.</w:t>
      </w:r>
    </w:p>
    <w:p>
      <w:pPr>
        <w:pStyle w:val="Heading1"/>
        <w:pBdr>
          <w:bottom w:val="single" w:sz="6" w:space="2" w:color="4A306D"/>
        </w:pBdr>
      </w:pPr>
      <w:r>
        <w:rPr>
          <w:rFonts w:ascii="Cambria" w:hAnsi="Cambria"/>
          <w:b/>
          <w:color w:val="4A306D"/>
          <w:sz w:val="32"/>
        </w:rPr>
        <w:t>2. Water quality</w:t>
      </w:r>
    </w:p>
    <w:p>
      <w:r>
        <w:rPr>
          <w:b w:val="0"/>
          <w:i w:val="0"/>
        </w:rPr>
        <w:t>Water-quality logs at all six sites were reviewed for the full season. Testing ran three times daily at Corrigwell and twice daily at the day-camp sites, recording free chlorine, pH, combined chlorine, cyanuric acid, alkalinity, and temperature. Readings stayed within the ranges we track per CDC Model Aquatic Health Code norms: free chlorine held between 1.2 and 3.8 ppm at Corrigwell's lake-fed system with two documented excursions above 4.0 ppm after shock treatment, both closed out with re-tests inside two hours; pH held 7.2 to 7.8 at every site; cyanuric acid stayed in the 30-50 ppm band at the four outdoor sites that use stabilized chlorine. No site closed a swim area for chemistry reasons in 2025. The testing cadence and the log format are adequate and are carried into 2026 unchanged.</w:t>
      </w:r>
    </w:p>
    <w:p>
      <w:pPr>
        <w:pStyle w:val="Heading1"/>
        <w:pBdr>
          <w:bottom w:val="single" w:sz="6" w:space="2" w:color="4A306D"/>
        </w:pBdr>
      </w:pPr>
      <w:r>
        <w:rPr>
          <w:rFonts w:ascii="Cambria" w:hAnsi="Cambria"/>
          <w:b/>
          <w:color w:val="4A306D"/>
          <w:sz w:val="32"/>
        </w:rPr>
        <w:t>3. Supervision and ratios</w:t>
      </w:r>
    </w:p>
    <w:p>
      <w:r>
        <w:rPr>
          <w:b w:val="0"/>
          <w:i w:val="0"/>
        </w:rPr>
        <w:t>Rotation sheets were sampled at every site for every session. The 1:25 supervision ratio was met or exceeded at every sampled rotation, and buddy-board counts reconciled with roster counts at every check we re-performed. Corrigwell ran three swim areas in Sessions 1 and 2 and two in Session 3 as enrollment tapered; staffing held. The one strain point remains the 2:15 rotation change at Corrigwell, where the beginner area briefly ran one guard short on two occasions in mid-July while a guard escorted a camper to the health lodge; both were corrected within the rotation and documented. A floater position for the 2:15 block is recommended in the 2026 staffing plan.</w:t>
      </w:r>
    </w:p>
    <w:p>
      <w:pPr>
        <w:pStyle w:val="Heading1"/>
        <w:pBdr>
          <w:bottom w:val="single" w:sz="6" w:space="2" w:color="4A306D"/>
        </w:pBdr>
      </w:pPr>
      <w:r>
        <w:rPr>
          <w:rFonts w:ascii="Cambria" w:hAnsi="Cambria"/>
          <w:b/>
          <w:color w:val="4A306D"/>
          <w:sz w:val="32"/>
        </w:rPr>
        <w:t>4. Incidents and first aid</w:t>
      </w:r>
    </w:p>
    <w:p>
      <w:r>
        <w:rPr>
          <w:b w:val="0"/>
          <w:i w:val="0"/>
        </w:rPr>
        <w:t>The 2025 incident and first-aid logs record 131 entries across the season, overwhelmingly minor: abrasions, splinters, jellyfish stings at the lake sites, and one near-shore rescue assist of a tired nonswimmer at Corrigwell in Session 1 with full recovery and same-day parent notification. No state-reportable incidents occurred at any site in 2025. The logs are complete, legible, and consistent in format, and follow-up fields were filled in 96% of entries, up from 91% in 2024.</w:t>
      </w:r>
    </w:p>
    <w:p>
      <w:pPr>
        <w:pStyle w:val="Heading1"/>
        <w:pBdr>
          <w:bottom w:val="single" w:sz="6" w:space="2" w:color="4A306D"/>
        </w:pBdr>
      </w:pPr>
      <w:r>
        <w:rPr>
          <w:rFonts w:ascii="Cambria" w:hAnsi="Cambria"/>
          <w:b/>
          <w:color w:val="4A306D"/>
          <w:sz w:val="32"/>
        </w:rPr>
        <w:t>5. Swim classification program</w:t>
      </w:r>
    </w:p>
    <w:p>
      <w:r>
        <w:rPr>
          <w:b w:val="0"/>
          <w:i w:val="0"/>
        </w:rPr>
        <w:t>Classification ran on schedule at all sites. At Corrigwell, 812 campers were classified across the three 2025 sessions: 19% nonswimmer, 33% beginner, 48% swimmer, in line with the four-year average. Retest volume at the beginner band remained high - 61 retests - which the department regards as healthy behavior, not a defect. Signature blocks on the 2025 rosters are complete at all six sites.</w:t>
      </w:r>
    </w:p>
    <w:p>
      <w:r>
        <w:rPr>
          <w:b w:val="0"/>
          <w:i w:val="0"/>
        </w:rPr>
        <w:t>The department notes for the record that roster signature blocks list the certifying supervisor's name and title but do not print the signer's credential code or track. That information lives in the certification file, a different document. This review did not cross-check the two; no season review to date has.</w:t>
      </w:r>
    </w:p>
    <w:p>
      <w:pPr>
        <w:pStyle w:val="Heading1"/>
        <w:pBdr>
          <w:bottom w:val="single" w:sz="6" w:space="2" w:color="4A306D"/>
        </w:pBdr>
      </w:pPr>
      <w:r>
        <w:rPr>
          <w:rFonts w:ascii="Cambria" w:hAnsi="Cambria"/>
          <w:b/>
          <w:color w:val="4A306D"/>
          <w:sz w:val="32"/>
        </w:rPr>
        <w:t>6. Staff credentials</w:t>
      </w:r>
    </w:p>
    <w:p>
      <w:r>
        <w:rPr>
          <w:b w:val="0"/>
          <w:i w:val="0"/>
        </w:rPr>
        <w:t>Certification files were reviewed for currency. As of the close of the 2025 season, every guard and instructor on the active roster held a credential within its validity window - 24 months for lifeguarding and instructor credentials, 12 months for bloodborne-pathogens training. The expiry tracker added in 2024 performed as designed and flagged nine renewals in time for season opening.</w:t>
      </w:r>
    </w:p>
    <w:p>
      <w:r>
        <w:rPr>
          <w:b w:val="0"/>
          <w:i w:val="0"/>
        </w:rPr>
        <w:t>The review surfaces one structural concern that is carried as Open Item 1 below: the department's controls ask two different questions at two different times and neither asks the full question. At hiring, we verify that an applicant holds the credentials the job posting lists. During the season, we verify that credentials on file have not expired. Neither step asks whether the credential a specific person holds authorizes the specific duty that person is actually performing - for example, certifying swim-ability assessments versus supervising guards. The credential-track authorization matrix answers that question, but nothing in the current hiring or tracking workflow consults it. This is a hiring-time credential check versus ongoing expiry tracking gap, and it should be closed before the 2026 season.</w:t>
      </w:r>
    </w:p>
    <w:p>
      <w:pPr>
        <w:pStyle w:val="Heading1"/>
        <w:pBdr>
          <w:bottom w:val="single" w:sz="6" w:space="2" w:color="4A306D"/>
        </w:pBdr>
      </w:pPr>
      <w:r>
        <w:rPr>
          <w:rFonts w:ascii="Cambria" w:hAnsi="Cambria"/>
          <w:b/>
          <w:color w:val="4A306D"/>
          <w:sz w:val="32"/>
        </w:rPr>
        <w:t>7. Recordkeeping and the compliance corpus</w:t>
      </w:r>
    </w:p>
    <w:p>
      <w:r>
        <w:rPr>
          <w:b w:val="0"/>
          <w:i w:val="0"/>
        </w:rPr>
        <w:t>The 92-document compliance corpus is stable and the eight-folder structure is holding. Two weaknesses: sibling-site folders are thin and inconsistently named, and the 2022 season's staffing paperwork was filed as routine seasonal hire material without the credential detail we now keep. Neither weakness affected operations.</w:t>
      </w:r>
    </w:p>
    <w:p>
      <w:pPr>
        <w:pStyle w:val="Heading1"/>
        <w:pBdr>
          <w:bottom w:val="single" w:sz="6" w:space="2" w:color="4A306D"/>
        </w:pBdr>
      </w:pPr>
      <w:r>
        <w:rPr>
          <w:rFonts w:ascii="Cambria" w:hAnsi="Cambria"/>
          <w:b/>
          <w:color w:val="4A306D"/>
          <w:sz w:val="32"/>
        </w:rPr>
        <w:t>8. Open items carried into 2026</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D9D9D9"/>
          </w:tcPr>
          <w:p>
            <w:r/>
            <w:r>
              <w:rPr>
                <w:b/>
              </w:rPr>
              <w:t>Item</w:t>
            </w:r>
          </w:p>
        </w:tc>
        <w:tc>
          <w:tcPr>
            <w:tcW w:type="dxa" w:w="4464"/>
            <w:shd w:val="clear" w:color="auto" w:fill="D9D9D9"/>
          </w:tcPr>
          <w:p>
            <w:r/>
            <w:r>
              <w:rPr>
                <w:b/>
              </w:rPr>
              <w:t>Description</w:t>
            </w:r>
          </w:p>
        </w:tc>
        <w:tc>
          <w:tcPr>
            <w:tcW w:type="dxa" w:w="2016"/>
            <w:shd w:val="clear" w:color="auto" w:fill="D9D9D9"/>
          </w:tcPr>
          <w:p>
            <w:r/>
            <w:r>
              <w:rPr>
                <w:b/>
              </w:rPr>
              <w:t>Owner</w:t>
            </w:r>
          </w:p>
        </w:tc>
        <w:tc>
          <w:tcPr>
            <w:tcW w:type="dxa" w:w="1440"/>
            <w:shd w:val="clear" w:color="auto" w:fill="D9D9D9"/>
          </w:tcPr>
          <w:p>
            <w:r/>
            <w:r>
              <w:rPr>
                <w:b/>
              </w:rPr>
              <w:t>Target</w:t>
            </w:r>
          </w:p>
        </w:tc>
      </w:tr>
      <w:tr>
        <w:tc>
          <w:tcPr>
            <w:tcW w:type="dxa" w:w="720"/>
          </w:tcPr>
          <w:p>
            <w:r/>
            <w:r>
              <w:t>1</w:t>
            </w:r>
          </w:p>
        </w:tc>
        <w:tc>
          <w:tcPr>
            <w:tcW w:type="dxa" w:w="4464"/>
          </w:tcPr>
          <w:p>
            <w:r/>
            <w:r>
              <w:t>Close the hiring-time credential check versus ongoing expiry tracking gap: add an authorization-matrix lookup to the aquatics hiring gate so the credential is checked against the duty, not only against the posting</w:t>
            </w:r>
          </w:p>
        </w:tc>
        <w:tc>
          <w:tcPr>
            <w:tcW w:type="dxa" w:w="2016"/>
          </w:tcPr>
          <w:p>
            <w:r/>
            <w:r>
              <w:t>R. Delgado / L. Booker</w:t>
            </w:r>
          </w:p>
        </w:tc>
        <w:tc>
          <w:tcPr>
            <w:tcW w:type="dxa" w:w="1440"/>
          </w:tcPr>
          <w:p>
            <w:r/>
            <w:r>
              <w:t>2026-04-30</w:t>
            </w:r>
          </w:p>
        </w:tc>
      </w:tr>
      <w:tr>
        <w:tc>
          <w:tcPr>
            <w:tcW w:type="dxa" w:w="720"/>
          </w:tcPr>
          <w:p>
            <w:r/>
            <w:r>
              <w:t>2</w:t>
            </w:r>
          </w:p>
        </w:tc>
        <w:tc>
          <w:tcPr>
            <w:tcW w:type="dxa" w:w="4464"/>
          </w:tcPr>
          <w:p>
            <w:r/>
            <w:r>
              <w:t>Print signer credential code and track on roster signature blocks</w:t>
            </w:r>
          </w:p>
        </w:tc>
        <w:tc>
          <w:tcPr>
            <w:tcW w:type="dxa" w:w="2016"/>
          </w:tcPr>
          <w:p>
            <w:r/>
            <w:r>
              <w:t>R. Delgado</w:t>
            </w:r>
          </w:p>
        </w:tc>
        <w:tc>
          <w:tcPr>
            <w:tcW w:type="dxa" w:w="1440"/>
          </w:tcPr>
          <w:p>
            <w:r/>
            <w:r>
              <w:t>2026-05-15</w:t>
            </w:r>
          </w:p>
        </w:tc>
      </w:tr>
      <w:tr>
        <w:tc>
          <w:tcPr>
            <w:tcW w:type="dxa" w:w="720"/>
          </w:tcPr>
          <w:p>
            <w:r/>
            <w:r>
              <w:t>3</w:t>
            </w:r>
          </w:p>
        </w:tc>
        <w:tc>
          <w:tcPr>
            <w:tcW w:type="dxa" w:w="4464"/>
          </w:tcPr>
          <w:p>
            <w:r/>
            <w:r>
              <w:t>Add a floater guard to the Corrigwell 2:15 rotation block</w:t>
            </w:r>
          </w:p>
        </w:tc>
        <w:tc>
          <w:tcPr>
            <w:tcW w:type="dxa" w:w="2016"/>
          </w:tcPr>
          <w:p>
            <w:r/>
            <w:r>
              <w:t>C. Yee</w:t>
            </w:r>
          </w:p>
        </w:tc>
        <w:tc>
          <w:tcPr>
            <w:tcW w:type="dxa" w:w="1440"/>
          </w:tcPr>
          <w:p>
            <w:r/>
            <w:r>
              <w:t>2026-06-08</w:t>
            </w:r>
          </w:p>
        </w:tc>
      </w:tr>
      <w:tr>
        <w:tc>
          <w:tcPr>
            <w:tcW w:type="dxa" w:w="720"/>
          </w:tcPr>
          <w:p>
            <w:r/>
            <w:r>
              <w:t>4</w:t>
            </w:r>
          </w:p>
        </w:tc>
        <w:tc>
          <w:tcPr>
            <w:tcW w:type="dxa" w:w="4464"/>
          </w:tcPr>
          <w:p>
            <w:r/>
            <w:r>
              <w:t>Standardize sibling-site folder naming under Sibling Camp Files</w:t>
            </w:r>
          </w:p>
        </w:tc>
        <w:tc>
          <w:tcPr>
            <w:tcW w:type="dxa" w:w="2016"/>
          </w:tcPr>
          <w:p>
            <w:r/>
            <w:r>
              <w:t>P. Natarajan</w:t>
            </w:r>
          </w:p>
        </w:tc>
        <w:tc>
          <w:tcPr>
            <w:tcW w:type="dxa" w:w="1440"/>
          </w:tcPr>
          <w:p>
            <w:r/>
            <w:r>
              <w:t>2026-03-31</w:t>
            </w:r>
          </w:p>
        </w:tc>
      </w:tr>
      <w:tr>
        <w:tc>
          <w:tcPr>
            <w:tcW w:type="dxa" w:w="720"/>
          </w:tcPr>
          <w:p>
            <w:r/>
            <w:r>
              <w:t>5</w:t>
            </w:r>
          </w:p>
        </w:tc>
        <w:tc>
          <w:tcPr>
            <w:tcW w:type="dxa" w:w="4464"/>
          </w:tcPr>
          <w:p>
            <w:r/>
            <w:r>
              <w:t>Re-lamp the Corrigwell deep-area underwater lights before Session 2</w:t>
            </w:r>
          </w:p>
        </w:tc>
        <w:tc>
          <w:tcPr>
            <w:tcW w:type="dxa" w:w="2016"/>
          </w:tcPr>
          <w:p>
            <w:r/>
            <w:r>
              <w:t>Facilities</w:t>
            </w:r>
          </w:p>
        </w:tc>
        <w:tc>
          <w:tcPr>
            <w:tcW w:type="dxa" w:w="1440"/>
          </w:tcPr>
          <w:p>
            <w:r/>
            <w:r>
              <w:t>2026-07-01</w:t>
            </w:r>
          </w:p>
        </w:tc>
      </w:tr>
    </w:tbl>
    <w:p/>
    <w:p>
      <w:pPr>
        <w:pStyle w:val="Heading1"/>
        <w:pBdr>
          <w:bottom w:val="single" w:sz="6" w:space="2" w:color="4A306D"/>
        </w:pBdr>
      </w:pPr>
      <w:r>
        <w:rPr>
          <w:rFonts w:ascii="Cambria" w:hAnsi="Cambria"/>
          <w:b/>
          <w:color w:val="4A306D"/>
          <w:sz w:val="32"/>
        </w:rPr>
        <w:t>9. Sibling site notes</w:t>
      </w:r>
    </w:p>
    <w:p>
      <w:r>
        <w:rPr>
          <w:b w:val="0"/>
          <w:i w:val="0"/>
        </w:rPr>
        <w:t>Loon Hollow ran its largest enrollment in five years and absorbed it well; the cove's shallow profile keeps its classification mix heavy on the nonswimmer band, and the site added a second board coordinator in Session 3. Tamarack Ridge's waterfront held its ratio through a staffing pinch in late July by borrowing two guards from the boating program - acceptable practice, but it thinned boating coverage and the site director has been asked to plan deeper bench strength for 2026. Bluegill Point's signage replacement from the 2023 open-items list is complete and the site passed its 2025 state facility inspection with one minor sanitation finding. Heron Landing resolved the unsigned-rotation-sheet issue from 2023 and had the cleanest paperwork of the season. Otter Run, our smallest site, ran a joint in-service with Loon Hollow in June that the department recommends as a model for the day camps.</w:t>
      </w:r>
    </w:p>
    <w:p>
      <w:pPr>
        <w:pStyle w:val="Heading1"/>
        <w:pBdr>
          <w:bottom w:val="single" w:sz="6" w:space="2" w:color="4A306D"/>
        </w:pBdr>
      </w:pPr>
      <w:r>
        <w:rPr>
          <w:rFonts w:ascii="Cambria" w:hAnsi="Cambria"/>
          <w:b/>
          <w:color w:val="4A306D"/>
          <w:sz w:val="32"/>
        </w:rPr>
        <w:t>10. Staffing and training</w:t>
      </w:r>
    </w:p>
    <w:p>
      <w:r>
        <w:rPr>
          <w:b w:val="0"/>
          <w:i w:val="0"/>
        </w:rPr>
        <w:t>The 2025 aquatics roster peaked at 76 staff across the six sites: 48 lifeguards, 15 swim instructors, 8 shift supervisors and site waterfront directors, and 5 boating instructors. Spring certification courses run at Corrigwell produced 22 new LG-WF credentials and 9 WSI completions; the community-college pipeline supplied most of the remainder. The May authorization-matrix acknowledgment was signed by every supervisor and waterfront director. Guard attrition after Session 1 was 8%, in line with the five-year average; the on-call bench absorbed it without a rotation dropping below standard.</w:t>
      </w:r>
    </w:p>
    <w:p>
      <w:pPr>
        <w:pStyle w:val="Heading1"/>
        <w:pBdr>
          <w:bottom w:val="single" w:sz="6" w:space="2" w:color="4A306D"/>
        </w:pBdr>
      </w:pPr>
      <w:r>
        <w:rPr>
          <w:rFonts w:ascii="Cambria" w:hAnsi="Cambria"/>
          <w:b/>
          <w:color w:val="4A306D"/>
          <w:sz w:val="32"/>
        </w:rPr>
        <w:t>11. Comparison to prior seasons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456"/>
            <w:shd w:val="clear" w:color="auto" w:fill="D9D9D9"/>
          </w:tcPr>
          <w:p>
            <w:r/>
            <w:r>
              <w:rPr>
                <w:b/>
              </w:rPr>
              <w:t>Measure</w:t>
            </w:r>
          </w:p>
        </w:tc>
        <w:tc>
          <w:tcPr>
            <w:tcW w:type="dxa" w:w="1296"/>
            <w:shd w:val="clear" w:color="auto" w:fill="D9D9D9"/>
          </w:tcPr>
          <w:p>
            <w:r/>
            <w:r>
              <w:rPr>
                <w:b/>
              </w:rPr>
              <w:t>2022</w:t>
            </w:r>
          </w:p>
        </w:tc>
        <w:tc>
          <w:tcPr>
            <w:tcW w:type="dxa" w:w="1296"/>
            <w:shd w:val="clear" w:color="auto" w:fill="D9D9D9"/>
          </w:tcPr>
          <w:p>
            <w:r/>
            <w:r>
              <w:rPr>
                <w:b/>
              </w:rPr>
              <w:t>2023</w:t>
            </w:r>
          </w:p>
        </w:tc>
        <w:tc>
          <w:tcPr>
            <w:tcW w:type="dxa" w:w="1296"/>
            <w:shd w:val="clear" w:color="auto" w:fill="D9D9D9"/>
          </w:tcPr>
          <w:p>
            <w:r/>
            <w:r>
              <w:rPr>
                <w:b/>
              </w:rPr>
              <w:t>2024</w:t>
            </w:r>
          </w:p>
        </w:tc>
        <w:tc>
          <w:tcPr>
            <w:tcW w:type="dxa" w:w="1296"/>
            <w:shd w:val="clear" w:color="auto" w:fill="D9D9D9"/>
          </w:tcPr>
          <w:p>
            <w:r/>
            <w:r>
              <w:rPr>
                <w:b/>
              </w:rPr>
              <w:t>2025</w:t>
            </w:r>
          </w:p>
        </w:tc>
      </w:tr>
      <w:tr>
        <w:tc>
          <w:tcPr>
            <w:tcW w:type="dxa" w:w="3456"/>
          </w:tcPr>
          <w:p>
            <w:r/>
            <w:r>
              <w:t>Campers served (all sites)</w:t>
            </w:r>
          </w:p>
        </w:tc>
        <w:tc>
          <w:tcPr>
            <w:tcW w:type="dxa" w:w="1296"/>
          </w:tcPr>
          <w:p>
            <w:r/>
            <w:r>
              <w:t>4,610</w:t>
            </w:r>
          </w:p>
        </w:tc>
        <w:tc>
          <w:tcPr>
            <w:tcW w:type="dxa" w:w="1296"/>
          </w:tcPr>
          <w:p>
            <w:r/>
            <w:r>
              <w:t>4,650</w:t>
            </w:r>
          </w:p>
        </w:tc>
        <w:tc>
          <w:tcPr>
            <w:tcW w:type="dxa" w:w="1296"/>
          </w:tcPr>
          <w:p>
            <w:r/>
            <w:r>
              <w:t>4,720</w:t>
            </w:r>
          </w:p>
        </w:tc>
        <w:tc>
          <w:tcPr>
            <w:tcW w:type="dxa" w:w="1296"/>
          </w:tcPr>
          <w:p>
            <w:r/>
            <w:r>
              <w:t>4,800</w:t>
            </w:r>
          </w:p>
        </w:tc>
      </w:tr>
      <w:tr>
        <w:tc>
          <w:tcPr>
            <w:tcW w:type="dxa" w:w="3456"/>
          </w:tcPr>
          <w:p>
            <w:r/>
            <w:r>
              <w:t>Corrigwell campers classified</w:t>
            </w:r>
          </w:p>
        </w:tc>
        <w:tc>
          <w:tcPr>
            <w:tcW w:type="dxa" w:w="1296"/>
          </w:tcPr>
          <w:p>
            <w:r/>
            <w:r>
              <w:t>788</w:t>
            </w:r>
          </w:p>
        </w:tc>
        <w:tc>
          <w:tcPr>
            <w:tcW w:type="dxa" w:w="1296"/>
          </w:tcPr>
          <w:p>
            <w:r/>
            <w:r>
              <w:t>795</w:t>
            </w:r>
          </w:p>
        </w:tc>
        <w:tc>
          <w:tcPr>
            <w:tcW w:type="dxa" w:w="1296"/>
          </w:tcPr>
          <w:p>
            <w:r/>
            <w:r>
              <w:t>805</w:t>
            </w:r>
          </w:p>
        </w:tc>
        <w:tc>
          <w:tcPr>
            <w:tcW w:type="dxa" w:w="1296"/>
          </w:tcPr>
          <w:p>
            <w:r/>
            <w:r>
              <w:t>812</w:t>
            </w:r>
          </w:p>
        </w:tc>
      </w:tr>
      <w:tr>
        <w:tc>
          <w:tcPr>
            <w:tcW w:type="dxa" w:w="3456"/>
          </w:tcPr>
          <w:p>
            <w:r/>
            <w:r>
              <w:t>Incident/first-aid log entries (all sites)</w:t>
            </w:r>
          </w:p>
        </w:tc>
        <w:tc>
          <w:tcPr>
            <w:tcW w:type="dxa" w:w="1296"/>
          </w:tcPr>
          <w:p>
            <w:r/>
            <w:r>
              <w:t>124</w:t>
            </w:r>
          </w:p>
        </w:tc>
        <w:tc>
          <w:tcPr>
            <w:tcW w:type="dxa" w:w="1296"/>
          </w:tcPr>
          <w:p>
            <w:r/>
            <w:r>
              <w:t>122</w:t>
            </w:r>
          </w:p>
        </w:tc>
        <w:tc>
          <w:tcPr>
            <w:tcW w:type="dxa" w:w="1296"/>
          </w:tcPr>
          <w:p>
            <w:r/>
            <w:r>
              <w:t>128</w:t>
            </w:r>
          </w:p>
        </w:tc>
        <w:tc>
          <w:tcPr>
            <w:tcW w:type="dxa" w:w="1296"/>
          </w:tcPr>
          <w:p>
            <w:r/>
            <w:r>
              <w:t>131</w:t>
            </w:r>
          </w:p>
        </w:tc>
      </w:tr>
      <w:tr>
        <w:tc>
          <w:tcPr>
            <w:tcW w:type="dxa" w:w="3456"/>
          </w:tcPr>
          <w:p>
            <w:r/>
            <w:r>
              <w:t>State-reportable incidents</w:t>
            </w:r>
          </w:p>
        </w:tc>
        <w:tc>
          <w:tcPr>
            <w:tcW w:type="dxa" w:w="1296"/>
          </w:tcPr>
          <w:p>
            <w:r/>
            <w:r>
              <w:t>0</w:t>
            </w:r>
          </w:p>
        </w:tc>
        <w:tc>
          <w:tcPr>
            <w:tcW w:type="dxa" w:w="1296"/>
          </w:tcPr>
          <w:p>
            <w:r/>
            <w:r>
              <w:t>0</w:t>
            </w:r>
          </w:p>
        </w:tc>
        <w:tc>
          <w:tcPr>
            <w:tcW w:type="dxa" w:w="1296"/>
          </w:tcPr>
          <w:p>
            <w:r/>
            <w:r>
              <w:t>0</w:t>
            </w:r>
          </w:p>
        </w:tc>
        <w:tc>
          <w:tcPr>
            <w:tcW w:type="dxa" w:w="1296"/>
          </w:tcPr>
          <w:p>
            <w:r/>
            <w:r>
              <w:t>0</w:t>
            </w:r>
          </w:p>
        </w:tc>
      </w:tr>
      <w:tr>
        <w:tc>
          <w:tcPr>
            <w:tcW w:type="dxa" w:w="3456"/>
          </w:tcPr>
          <w:p>
            <w:r/>
            <w:r>
              <w:t>Beginner-band retests (Corrigwell)</w:t>
            </w:r>
          </w:p>
        </w:tc>
        <w:tc>
          <w:tcPr>
            <w:tcW w:type="dxa" w:w="1296"/>
          </w:tcPr>
          <w:p>
            <w:r/>
            <w:r>
              <w:t>44</w:t>
            </w:r>
          </w:p>
        </w:tc>
        <w:tc>
          <w:tcPr>
            <w:tcW w:type="dxa" w:w="1296"/>
          </w:tcPr>
          <w:p>
            <w:r/>
            <w:r>
              <w:t>58</w:t>
            </w:r>
          </w:p>
        </w:tc>
        <w:tc>
          <w:tcPr>
            <w:tcW w:type="dxa" w:w="1296"/>
          </w:tcPr>
          <w:p>
            <w:r/>
            <w:r>
              <w:t>52</w:t>
            </w:r>
          </w:p>
        </w:tc>
        <w:tc>
          <w:tcPr>
            <w:tcW w:type="dxa" w:w="1296"/>
          </w:tcPr>
          <w:p>
            <w:r/>
            <w:r>
              <w:t>61</w:t>
            </w:r>
          </w:p>
        </w:tc>
      </w:tr>
      <w:tr>
        <w:tc>
          <w:tcPr>
            <w:tcW w:type="dxa" w:w="3456"/>
          </w:tcPr>
          <w:p>
            <w:r/>
            <w:r>
              <w:t>Ratio blocks meeting 1:25 (sampled)</w:t>
            </w:r>
          </w:p>
        </w:tc>
        <w:tc>
          <w:tcPr>
            <w:tcW w:type="dxa" w:w="1296"/>
          </w:tcPr>
          <w:p>
            <w:r/>
            <w:r>
              <w:t>100%</w:t>
            </w:r>
          </w:p>
        </w:tc>
        <w:tc>
          <w:tcPr>
            <w:tcW w:type="dxa" w:w="1296"/>
          </w:tcPr>
          <w:p>
            <w:r/>
            <w:r>
              <w:t>100%</w:t>
            </w:r>
          </w:p>
        </w:tc>
        <w:tc>
          <w:tcPr>
            <w:tcW w:type="dxa" w:w="1296"/>
          </w:tcPr>
          <w:p>
            <w:r/>
            <w:r>
              <w:t>100%</w:t>
            </w:r>
          </w:p>
        </w:tc>
        <w:tc>
          <w:tcPr>
            <w:tcW w:type="dxa" w:w="1296"/>
          </w:tcPr>
          <w:p>
            <w:r/>
            <w:r>
              <w:t>100%</w:t>
            </w:r>
          </w:p>
        </w:tc>
      </w:tr>
      <w:tr>
        <w:tc>
          <w:tcPr>
            <w:tcW w:type="dxa" w:w="3456"/>
          </w:tcPr>
          <w:p>
            <w:r/>
            <w:r>
              <w:t>Water-chemistry closures</w:t>
            </w:r>
          </w:p>
        </w:tc>
        <w:tc>
          <w:tcPr>
            <w:tcW w:type="dxa" w:w="1296"/>
          </w:tcPr>
          <w:p>
            <w:r/>
            <w:r>
              <w:t>0</w:t>
            </w:r>
          </w:p>
        </w:tc>
        <w:tc>
          <w:tcPr>
            <w:tcW w:type="dxa" w:w="1296"/>
          </w:tcPr>
          <w:p>
            <w:r/>
            <w:r>
              <w:t>0</w:t>
            </w:r>
          </w:p>
        </w:tc>
        <w:tc>
          <w:tcPr>
            <w:tcW w:type="dxa" w:w="1296"/>
          </w:tcPr>
          <w:p>
            <w:r/>
            <w:r>
              <w:t>0</w:t>
            </w:r>
          </w:p>
        </w:tc>
        <w:tc>
          <w:tcPr>
            <w:tcW w:type="dxa" w:w="1296"/>
          </w:tcPr>
          <w:p>
            <w:r/>
            <w:r>
              <w:t>0</w:t>
            </w:r>
          </w:p>
        </w:tc>
      </w:tr>
    </w:tbl>
    <w:p/>
    <w:p>
      <w:pPr>
        <w:pStyle w:val="Heading1"/>
        <w:pBdr>
          <w:bottom w:val="single" w:sz="6" w:space="2" w:color="4A306D"/>
        </w:pBdr>
      </w:pPr>
      <w:r>
        <w:rPr>
          <w:rFonts w:ascii="Cambria" w:hAnsi="Cambria"/>
          <w:b/>
          <w:color w:val="4A306D"/>
          <w:sz w:val="32"/>
        </w:rPr>
        <w:t>12. Budget and resources</w:t>
      </w:r>
    </w:p>
    <w:p>
      <w:r>
        <w:rPr>
          <w:b w:val="0"/>
          <w:i w:val="0"/>
        </w:rPr>
        <w:t>The department spent $9,100 of a $9,800 safety-equipment budget, with the major purchases being two backboards at Tamarack Ridge and the deep-area reach pole replacement at Corrigwell. Certification course costs ran $29,700 against a $31,500 budget as course fees rose. The central expiry tracker, built through 2024 and live for 2025, cost $6,200 in contractor time and saved an estimated 40 staff-hours of per-site paper tracking in its first season. The 2026 budget request includes $14,200 for the verification-gate work described under Open Item 1.</w:t>
      </w:r>
    </w:p>
    <w:p>
      <w:pPr>
        <w:pStyle w:val="Heading1"/>
        <w:pBdr>
          <w:bottom w:val="single" w:sz="6" w:space="2" w:color="4A306D"/>
        </w:pBdr>
      </w:pPr>
      <w:r>
        <w:rPr>
          <w:rFonts w:ascii="Cambria" w:hAnsi="Cambria"/>
          <w:b/>
          <w:color w:val="4A306D"/>
          <w:sz w:val="32"/>
        </w:rPr>
        <w:t>13. Looking to 2026</w:t>
      </w:r>
    </w:p>
    <w:p>
      <w:r>
        <w:rPr>
          <w:b w:val="0"/>
          <w:i w:val="0"/>
        </w:rPr>
        <w:t>The 2026 season opens June 22, with staff week June 8 and the season closing 2026-08-20. Enrollment projections are flat to slightly up. The department's priorities, in order: close Open Item 1 before the first hire is confirmed; hold the water-quality and ratio performance of the last four seasons; and bring the four never-audited sibling-site paperwork practices up to the Corrigwell standard of legibility.</w:t>
      </w:r>
    </w:p>
    <w:p>
      <w:pPr>
        <w:pStyle w:val="Heading1"/>
        <w:pBdr>
          <w:bottom w:val="single" w:sz="6" w:space="2" w:color="4A306D"/>
        </w:pBdr>
      </w:pPr>
      <w:r>
        <w:rPr>
          <w:rFonts w:ascii="Cambria" w:hAnsi="Cambria"/>
          <w:b/>
          <w:color w:val="4A306D"/>
          <w:sz w:val="32"/>
        </w:rPr>
        <w:t>14. Closing</w:t>
      </w:r>
    </w:p>
    <w:p>
      <w:r>
        <w:rPr>
          <w:b w:val="0"/>
          <w:i w:val="0"/>
        </w:rPr>
        <w:t>The 2025 season was operationally strong at all six sites. The one item with the potential to matter beyond operations is Open Item 1, and the department asks that it be resourced in the spring staffing cycle rather than deferred to the 2026 review.</w:t>
      </w:r>
    </w:p>
    <w:p/>
    <w:p>
      <w:r>
        <w:rPr>
          <w:b w:val="0"/>
          <w:i w:val="0"/>
        </w:rPr>
        <w:t>Raquel I. Delgado, Director of Aquatics Standards        2025-11-14</w:t>
      </w:r>
    </w:p>
    <w:p>
      <w:r>
        <w:rPr>
          <w:b w:val="0"/>
          <w:i w:val="0"/>
        </w:rPr>
        <w:t>Reviewed by: Harold J. Brennan, Executive Director        2025-11-21</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P. Yee</dc:creator>
  <cp:keywords/>
  <dc:description>generated by python-docx</dc:description>
  <cp:lastModifiedBy/>
  <cp:revision>1</cp:revision>
  <dcterms:created xsi:type="dcterms:W3CDTF">2025-11-13T13:01:13Z</dcterms:created>
  <dcterms:modified xsi:type="dcterms:W3CDTF">2026-06-01T13:01:13Z</dcterms:modified>
  <cp:category/>
</cp:coreProperties>
</file>