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sz w:val="28"/>
        </w:rPr>
        <w:t>Moorage Audit: Board Memorandum</w:t>
      </w:r>
    </w:p>
    <w:p>
      <w:r>
        <w:rPr>
          <w:sz w:val="24"/>
        </w:rPr>
        <w:t/>
      </w:r>
    </w:p>
    <w:p>
      <w:r>
        <w:rPr>
          <w:sz w:val="24"/>
        </w:rPr>
        <w:t>TO:       Administrator Ginny Marina and Board of Harbor Commissioners</w:t>
      </w:r>
    </w:p>
    <w:p>
      <w:r>
        <w:rPr>
          <w:sz w:val="24"/>
        </w:rPr>
        <w:t>FROM:  Moorage Counter Clerk</w:t>
      </w:r>
    </w:p>
    <w:p>
      <w:r>
        <w:rPr>
          <w:sz w:val="24"/>
        </w:rPr>
        <w:t>DATE:  August 1, 2026</w:t>
      </w:r>
    </w:p>
    <w:p>
      <w:r>
        <w:rPr>
          <w:sz w:val="24"/>
        </w:rPr>
        <w:t>SUBJECT:  Queue integrity, recurring billing, and July receivables audit</w:t>
      </w:r>
    </w:p>
    <w:p>
      <w:r>
        <w:rPr>
          <w:sz w:val="24"/>
        </w:rPr>
        <w:t/>
      </w:r>
    </w:p>
    <w:p>
      <w:pPr>
        <w:pStyle w:val="Heading2"/>
      </w:pPr>
      <w:r>
        <w:rPr>
          <w:sz w:val="22"/>
        </w:rPr>
        <w:t>Decision Summary</w:t>
      </w:r>
    </w:p>
    <w:p>
      <w:r>
        <w:rPr>
          <w:sz w:val="24"/>
        </w:rPr>
        <w:t/>
      </w:r>
    </w:p>
    <w:p>
      <w:r>
        <w:rPr>
          <w:sz w:val="24"/>
        </w:rPr>
        <w:t>Confirmed July revenue leakage: $0.00 in tested population. All 769 active recurring billing rows reprice to tariff using MAX(rounded-up check-in LOA, posted slip length) at $10.40/foot-month for covered basins and $7.55/foot-month for open basins per Resolution 2022-06 s.1.1. This is not a conclusion on every occupied slip: 317 of 1,086 occupied records have no July monthly row. Their formula-derived basis is $99,629.80 for one month, but the records do not show whether the agreements are annual or prepaid. That amount is unverified coverage, not booked leakage.</w:t>
      </w:r>
    </w:p>
    <w:p>
      <w:r>
        <w:rPr>
          <w:sz w:val="24"/>
        </w:rPr>
        <w:t/>
      </w:r>
    </w:p>
    <w:p>
      <w:pPr>
        <w:pStyle w:val="Heading2"/>
      </w:pPr>
      <w:r>
        <w:rPr>
          <w:sz w:val="22"/>
        </w:rPr>
        <w:t>Queue Exceptions</w:t>
      </w:r>
    </w:p>
    <w:p>
      <w:r>
        <w:rPr>
          <w:sz w:val="24"/>
        </w:rPr>
        <w:t>The dedicated skip register contains 309 events in scope, while the offer export contains 304 skip outcomes. The workbook flags 23 appeal-relevant records: 19 with documentation_attached=N per Standing Order 15-3 s.3.2, two where a supplied complete file identifies a different slip than the registered event, one late-support finding (WL-02319), and one vessel-fit finding whose particulars did not establish ineligibility (WL-02712). Nineteen affected applicants remain ACTIVE_WAITLIST, three are RETAINER, and one is EXPIRED. Standing Order 15-3 s.5.1 names the skip event register as a District record; Appeal 2018-3 rejects later reconstruction. Physical files govern their contents.</w:t>
      </w:r>
    </w:p>
    <w:p>
      <w:r>
        <w:rPr>
          <w:sz w:val="24"/>
        </w:rPr>
        <w:t/>
      </w:r>
    </w:p>
    <w:p>
      <w:pPr>
        <w:pStyle w:val="Heading2"/>
      </w:pPr>
      <w:r>
        <w:rPr>
          <w:sz w:val="22"/>
        </w:rPr>
        <w:t>Billing and Aging</w:t>
      </w:r>
    </w:p>
    <w:p>
      <w:r>
        <w:rPr>
          <w:sz w:val="24"/>
        </w:rPr>
        <w:t>Tariff Resolution 2019-14 s.1.4 and Resolution 2022-06 s.1.1 govern billable length. AR aging at July 31, 2026 contains 260 subledger accounts out of 1,086 occupied; 826 occupied accounts are absent from the aging report. Six active holders exceed 90 days past due totaling $4,368.00. Thirty-nine subledger arithmetic discrepancies exist against the verified bucket total of $147,836.00, yielding a control gap of $17,108.00. Standing Order 15-3 s.3.2 requires cover sheet plus supporting record assembled on the day the slip was worked; four cover-sheet-only files (WL-02211, WL-02618, WL-03044, WL-03390) fail this standard outright.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pPr>
      <w:spacing w:after="200" w:line="276"/>
    </w:pPr>
    <w:rPr>
      <w:rFonts w:ascii="Calibri"/>
      <w:sz w:val="24"/>
    </w:rPr>
  </w:style>
  <w:style w:type="paragraph" w:styleId="Heading1">
    <w:name w:val="Heading 1"/>
    <w:pPr>
      <w:spacing w:before="400" w:after="200"/>
      <w:pBdr>
        <w:bottom w:val="single" w:sz="12" w:space="2" w:color="1C2833"/>
      </w:pBdr>
    </w:pPr>
    <w:rPr>
      <w:rFonts w:ascii="Calibri"/>
      <w:b/>
      <w:sz w:val="28"/>
    </w:rPr>
  </w:style>
  <w:style w:type="paragraph" w:styleId="Heading2">
    <w:name w:val="Heading 2"/>
    <w:pPr>
      <w:spacing w:before="200" w:after="100"/>
    </w:pPr>
    <w:rPr>
      <w:rFonts w:ascii="Calibri"/>
      <w:b/>
      <w:sz w:val="22"/>
    </w:rPr>
  </w:style>
</w:styles>
</file>