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F6B6B"/>
        <w:spacing w:before="200" w:after="120"/>
      </w:pPr>
      <w:r>
        <w:rPr>
          <w:rFonts w:ascii="Palatino Linotype" w:hAnsi="Palatino Linotype"/>
          <w:b/>
          <w:color w:val="FFFFFF"/>
          <w:sz w:val="28"/>
        </w:rPr>
        <w:t>Corrective Action Plan 2026-01</w:t>
      </w:r>
    </w:p>
    <w:p>
      <w:r>
        <w:rPr>
          <w:b w:val="0"/>
          <w:i/>
        </w:rPr>
        <w:t>KVL Camps - Corporate Risk and Compliance - opened June 29, 2026</w:t>
      </w:r>
    </w:p>
    <w:tbl>
      <w:tblPr>
        <w:tblStyle w:val="TableGrid"/>
        <w:tblW w:type="auto" w:w="0"/>
        <w:jc w:val="left"/>
        <w:tblLook w:firstColumn="1" w:firstRow="1" w:lastColumn="0" w:lastRow="0" w:noHBand="0" w:noVBand="1" w:val="04A0"/>
      </w:tblPr>
      <w:tblGrid>
        <w:gridCol w:w="4680"/>
        <w:gridCol w:w="4680"/>
      </w:tblGrid>
      <w:tr>
        <w:tc>
          <w:tcPr>
            <w:tcW w:type="dxa" w:w="3168"/>
          </w:tcPr>
          <w:p>
            <w:r/>
            <w:r>
              <w:rPr>
                <w:b/>
              </w:rPr>
              <w:t>Plan number</w:t>
            </w:r>
          </w:p>
        </w:tc>
        <w:tc>
          <w:tcPr>
            <w:tcW w:type="dxa" w:w="6192"/>
          </w:tcPr>
          <w:p>
            <w:r/>
            <w:r>
              <w:t>CAP-2026-01</w:t>
            </w:r>
          </w:p>
        </w:tc>
      </w:tr>
      <w:tr>
        <w:tc>
          <w:tcPr>
            <w:tcW w:type="dxa" w:w="3168"/>
          </w:tcPr>
          <w:p>
            <w:r/>
            <w:r>
              <w:rPr>
                <w:b/>
              </w:rPr>
              <w:t>Opened by</w:t>
            </w:r>
          </w:p>
        </w:tc>
        <w:tc>
          <w:tcPr>
            <w:tcW w:type="dxa" w:w="6192"/>
          </w:tcPr>
          <w:p>
            <w:r/>
            <w:r>
              <w:t>Priya Natarajan, Director of Risk and Compliance</w:t>
            </w:r>
          </w:p>
        </w:tc>
      </w:tr>
      <w:tr>
        <w:tc>
          <w:tcPr>
            <w:tcW w:type="dxa" w:w="3168"/>
          </w:tcPr>
          <w:p>
            <w:r/>
            <w:r>
              <w:rPr>
                <w:b/>
              </w:rPr>
              <w:t>Date opened</w:t>
            </w:r>
          </w:p>
        </w:tc>
        <w:tc>
          <w:tcPr>
            <w:tcW w:type="dxa" w:w="6192"/>
          </w:tcPr>
          <w:p>
            <w:r/>
            <w:r>
              <w:t>06/29/2026</w:t>
            </w:r>
          </w:p>
        </w:tc>
      </w:tr>
      <w:tr>
        <w:tc>
          <w:tcPr>
            <w:tcW w:type="dxa" w:w="3168"/>
          </w:tcPr>
          <w:p>
            <w:r/>
            <w:r>
              <w:rPr>
                <w:b/>
              </w:rPr>
              <w:t>Trigger</w:t>
            </w:r>
          </w:p>
        </w:tc>
        <w:tc>
          <w:tcPr>
            <w:tcW w:type="dxa" w:w="6192"/>
          </w:tcPr>
          <w:p>
            <w:r/>
            <w:r>
              <w:t>State finding letter, Case No. BYC-FND-2026-0147, dated 06/15/2026</w:t>
            </w:r>
          </w:p>
        </w:tc>
      </w:tr>
      <w:tr>
        <w:tc>
          <w:tcPr>
            <w:tcW w:type="dxa" w:w="3168"/>
          </w:tcPr>
          <w:p>
            <w:r/>
            <w:r>
              <w:rPr>
                <w:b/>
              </w:rPr>
              <w:t>Site in scope</w:t>
            </w:r>
          </w:p>
        </w:tc>
        <w:tc>
          <w:tcPr>
            <w:tcW w:type="dxa" w:w="6192"/>
          </w:tcPr>
          <w:p>
            <w:r/>
            <w:r>
              <w:t>Corrigwell (flagship); six-site sweep under WF4 runs in parallel</w:t>
            </w:r>
          </w:p>
        </w:tc>
      </w:tr>
      <w:tr>
        <w:tc>
          <w:tcPr>
            <w:tcW w:type="dxa" w:w="3168"/>
          </w:tcPr>
          <w:p>
            <w:r/>
            <w:r>
              <w:rPr>
                <w:b/>
              </w:rPr>
              <w:t>Response due</w:t>
            </w:r>
          </w:p>
        </w:tc>
        <w:tc>
          <w:tcPr>
            <w:tcW w:type="dxa" w:w="6192"/>
          </w:tcPr>
          <w:p>
            <w:r/>
            <w:r>
              <w:t>Within forty-five (45) days of the date of the finding letter (no later than 07/30/2026)</w:t>
            </w:r>
          </w:p>
        </w:tc>
      </w:tr>
      <w:tr>
        <w:tc>
          <w:tcPr>
            <w:tcW w:type="dxa" w:w="3168"/>
          </w:tcPr>
          <w:p>
            <w:r/>
            <w:r>
              <w:rPr>
                <w:b/>
              </w:rPr>
              <w:t>Season close</w:t>
            </w:r>
          </w:p>
        </w:tc>
        <w:tc>
          <w:tcPr>
            <w:tcW w:type="dxa" w:w="6192"/>
          </w:tcPr>
          <w:p>
            <w:r/>
            <w:r>
              <w:t>2026-08-20 (all six sites)</w:t>
            </w:r>
          </w:p>
        </w:tc>
      </w:tr>
    </w:tbl>
    <w:p/>
    <w:p>
      <w:pPr>
        <w:shd w:val="clear" w:color="auto" w:fill="0F6B6B"/>
        <w:spacing w:before="200" w:after="120"/>
      </w:pPr>
      <w:r>
        <w:rPr>
          <w:rFonts w:ascii="Palatino Linotype" w:hAnsi="Palatino Linotype"/>
          <w:b/>
          <w:color w:val="FFFFFF"/>
          <w:sz w:val="28"/>
        </w:rPr>
        <w:t>1. Purpose</w:t>
      </w:r>
    </w:p>
    <w:p>
      <w:r>
        <w:rPr>
          <w:b w:val="0"/>
          <w:i w:val="0"/>
        </w:rPr>
        <w:t>This corrective-action plan answers the finding issued by the Aldervale Department of Health, Bureau of Youth Camp Licensing, on June 15, 2026, concerning swim-ability assessment sign-off authority at the Corrigwell waterfront. The plan is scoped deliberately and narrowly. The finding concerns credential authority - who signed the classification record - and not water quality, supervision ratios, or camper welfare, all of which the operational record shows were maintained throughout the affected period. Nothing in this plan should be read as an admission of an operational safety failure, and nothing in it expands the finding beyond credential authority.</w:t>
      </w:r>
    </w:p>
    <w:p>
      <w:r>
        <w:rPr>
          <w:b w:val="0"/>
          <w:i w:val="0"/>
        </w:rPr>
        <w:t>The plan is owned by the Director of Risk and Compliance and is executed jointly with the Director of Aquatics Standards, the Corrigwell Camp Director, and the Staffing and HR Coordinator. Progress is reported to the Executive Director weekly and to the Board Risk Committee at its July and August meetings.</w:t>
      </w:r>
    </w:p>
    <w:p>
      <w:pPr>
        <w:shd w:val="clear" w:color="auto" w:fill="0F6B6B"/>
        <w:spacing w:before="200" w:after="120"/>
      </w:pPr>
      <w:r>
        <w:rPr>
          <w:rFonts w:ascii="Palatino Linotype" w:hAnsi="Palatino Linotype"/>
          <w:b/>
          <w:color w:val="FFFFFF"/>
          <w:sz w:val="28"/>
        </w:rPr>
        <w:t>2. Background</w:t>
      </w:r>
    </w:p>
    <w:p>
      <w:r>
        <w:rPr>
          <w:b w:val="0"/>
          <w:i w:val="0"/>
        </w:rPr>
        <w:t>In early 2026 the Director of Aquatics Standards, Raquel I. Delgado, identified a latent authorization gap at Corrigwell. The staff member who has signed off on swim-ability assessments since the spring 2022 season, Martin T. Eberly, Aquatics Supervisor, holds an Aquatics Supervisor Certificate (AQS), a supervisor-track credential issued by the Aldervale Recreation and Parks Association. The credential is current - it was renewed March 18, 2026 and runs through March 18, 2028. The gap is not currency. The gap is that the KVL Camps credential-track authorization matrix does not list the AQS supervisor-track as authorized to administer or certify swim-ability assessments. Assessment authority under the matrix attaches to the instructor-track credentials (WSI, LGI) and to LG-WF waterfront skills lifeguarding, not to the supervisor track.</w:t>
      </w:r>
    </w:p>
    <w:p>
      <w:r>
        <w:rPr>
          <w:b w:val="0"/>
          <w:i w:val="0"/>
        </w:rPr>
        <w:t>The change of signer was made in 2022 (spring) when the prior Waterfront Director, Sandra L. Ohman (WSI/LGI), did not return for the season. The staffing action was logged as a routine seasonal hire, and no verification step compared the incoming supervisor's credential against the assessment-authority column of the authorization matrix. Because the operational record at Corrigwell has remained clean - water chemistry within range, the 1:25 supervision ratio met or exceeded at every rotation check, and no serious incident on the incident and first-aid logs - nothing surfaced the gap for four full seasons of camper exposure: Summers 2022, 2023, 2024, 2025.</w:t>
      </w:r>
    </w:p>
    <w:p>
      <w:r>
        <w:rPr>
          <w:b w:val="0"/>
          <w:i w:val="0"/>
        </w:rPr>
        <w:t>The state finding letter was issued after the Bureau reviewed records produced by KVL Camps in May and June 2026. The Bureau's letter is narrow in the same way this plan is narrow: it cites the sign-off authority defect, notes the otherwise clean operational record at the site, and requires corrective action within forty-five (45) days of the date of the letter.</w:t>
      </w:r>
    </w:p>
    <w:p>
      <w:pPr>
        <w:shd w:val="clear" w:color="auto" w:fill="0F6B6B"/>
        <w:spacing w:before="200" w:after="120"/>
      </w:pPr>
      <w:r>
        <w:rPr>
          <w:rFonts w:ascii="Palatino Linotype" w:hAnsi="Palatino Linotype"/>
          <w:b/>
          <w:color w:val="FFFFFF"/>
          <w:sz w:val="28"/>
        </w:rPr>
        <w:t>3. Root cause</w:t>
      </w:r>
    </w:p>
    <w:p>
      <w:r>
        <w:rPr>
          <w:b w:val="0"/>
          <w:i w:val="0"/>
        </w:rPr>
        <w:t>The root cause is a missing control at the hiring step, not an individual error by the signer. Three conditions combined: (a) the 2022 hiring action was classified as a routine seasonal hire and routed through the seasonal pipeline, which verifies identity, references, and work eligibility but did not then include a matrix lookup against the duties being assigned; (b) assessment sign-off authority was treated as inherited by the Aquatics Supervisor role rather than as a separate credential-track authorization; and (c) the expiry-tracking process added after the 2023 season tracks dates only - it asks whether a credential is current, not whether the credential authorizes the duty being performed. The late-2025 annual swimming safety plan review flagged exactly this split between hiring-time credential checks and ongoing expiry tracking as an open item, but the item had not been closed when the 2026 season opened.</w:t>
      </w:r>
    </w:p>
    <w:p>
      <w:pPr>
        <w:shd w:val="clear" w:color="auto" w:fill="0F6B6B"/>
        <w:spacing w:before="200" w:after="120"/>
      </w:pPr>
      <w:r>
        <w:rPr>
          <w:rFonts w:ascii="Palatino Linotype" w:hAnsi="Palatino Linotype"/>
          <w:b/>
          <w:color w:val="FFFFFF"/>
          <w:sz w:val="28"/>
        </w:rPr>
        <w:t>4. Affected seasons and exposure summary</w:t>
      </w:r>
    </w:p>
    <w:p>
      <w:r>
        <w:rPr>
          <w:b w:val="0"/>
          <w:i w:val="0"/>
        </w:rPr>
        <w:t>The affected period is Summers 2022, 2023, 2024, 2025, plus the assessments administered in the opening weeks of the 2026 season before the signer was changed. Corrigwell serves approximately 800 campers per season across its three sessions. The WF3 camper-days and tenure-exposure recompute quantifies exposure in terms of camper-days and returning-camper tenure so that re-assessment can be prioritized by band and by how long a camper's classification has rested on an unauthorized signature. That recompute is maintained in the WF3 workbook held by Corporate Risk and Compliance; this plan does not restate its tables.</w:t>
      </w:r>
    </w:p>
    <w:p>
      <w:r>
        <w:rPr>
          <w:b w:val="0"/>
          <w:i w:val="0"/>
        </w:rPr>
        <w:t>The eight-season authorization-continuity trace (2019 through 2026, WF6) anchors the timeline: sign-off authority was held by Sandra L. Ohman (WSI/LGI, assessment-authorized) through the 2021 season and passed to Martin T. Eberly (AQS, supervisor-track) at the 2022 (spring) staffing change. The trace is maintained as a factual roster of signers and credentials; conclusions are drawn from it only when it is read together with the authorization matrix.</w:t>
      </w:r>
    </w:p>
    <w:p>
      <w:pPr>
        <w:shd w:val="clear" w:color="auto" w:fill="0F6B6B"/>
        <w:spacing w:before="200" w:after="120"/>
      </w:pPr>
      <w:r>
        <w:rPr>
          <w:rFonts w:ascii="Palatino Linotype" w:hAnsi="Palatino Linotype"/>
          <w:b/>
          <w:color w:val="FFFFFF"/>
          <w:sz w:val="28"/>
        </w:rPr>
        <w:t>5. Corrective actions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76"/>
            <w:shd w:val="clear" w:color="auto" w:fill="D9D9D9"/>
          </w:tcPr>
          <w:p>
            <w:r/>
            <w:r>
              <w:rPr>
                <w:b/>
              </w:rPr>
              <w:t>#</w:t>
            </w:r>
          </w:p>
        </w:tc>
        <w:tc>
          <w:tcPr>
            <w:tcW w:type="dxa" w:w="3744"/>
            <w:shd w:val="clear" w:color="auto" w:fill="D9D9D9"/>
          </w:tcPr>
          <w:p>
            <w:r/>
            <w:r>
              <w:rPr>
                <w:b/>
              </w:rPr>
              <w:t>Action</w:t>
            </w:r>
          </w:p>
        </w:tc>
        <w:tc>
          <w:tcPr>
            <w:tcW w:type="dxa" w:w="1872"/>
            <w:shd w:val="clear" w:color="auto" w:fill="D9D9D9"/>
          </w:tcPr>
          <w:p>
            <w:r/>
            <w:r>
              <w:rPr>
                <w:b/>
              </w:rPr>
              <w:t>Owner</w:t>
            </w:r>
          </w:p>
        </w:tc>
        <w:tc>
          <w:tcPr>
            <w:tcW w:type="dxa" w:w="1584"/>
            <w:shd w:val="clear" w:color="auto" w:fill="D9D9D9"/>
          </w:tcPr>
          <w:p>
            <w:r/>
            <w:r>
              <w:rPr>
                <w:b/>
              </w:rPr>
              <w:t>Due</w:t>
            </w:r>
          </w:p>
        </w:tc>
        <w:tc>
          <w:tcPr>
            <w:tcW w:type="dxa" w:w="1584"/>
            <w:shd w:val="clear" w:color="auto" w:fill="D9D9D9"/>
          </w:tcPr>
          <w:p>
            <w:r/>
            <w:r>
              <w:rPr>
                <w:b/>
              </w:rPr>
              <w:t>Status</w:t>
            </w:r>
          </w:p>
        </w:tc>
      </w:tr>
      <w:tr>
        <w:tc>
          <w:tcPr>
            <w:tcW w:type="dxa" w:w="576"/>
          </w:tcPr>
          <w:p>
            <w:r/>
            <w:r>
              <w:t>1</w:t>
            </w:r>
          </w:p>
        </w:tc>
        <w:tc>
          <w:tcPr>
            <w:tcW w:type="dxa" w:w="3744"/>
          </w:tcPr>
          <w:p>
            <w:r/>
            <w:r>
              <w:t>Re-administer swim-ability assessments for all 2026 Corrigwell campers whose current classification rests on a 2022-2026 sign-off, using WSI/LGI/LG-WF authorized assessors under the Waterfront Director</w:t>
            </w:r>
          </w:p>
        </w:tc>
        <w:tc>
          <w:tcPr>
            <w:tcW w:type="dxa" w:w="1872"/>
          </w:tcPr>
          <w:p>
            <w:r/>
            <w:r>
              <w:t>C. Yee / R. Delgado</w:t>
            </w:r>
          </w:p>
        </w:tc>
        <w:tc>
          <w:tcPr>
            <w:tcW w:type="dxa" w:w="1584"/>
          </w:tcPr>
          <w:p>
            <w:r/>
            <w:r>
              <w:t>07/17/2026</w:t>
            </w:r>
          </w:p>
        </w:tc>
        <w:tc>
          <w:tcPr>
            <w:tcW w:type="dxa" w:w="1584"/>
          </w:tcPr>
          <w:p>
            <w:r/>
            <w:r>
              <w:t>In progress</w:t>
            </w:r>
          </w:p>
        </w:tc>
      </w:tr>
      <w:tr>
        <w:tc>
          <w:tcPr>
            <w:tcW w:type="dxa" w:w="576"/>
          </w:tcPr>
          <w:p>
            <w:r/>
            <w:r>
              <w:t>2</w:t>
            </w:r>
          </w:p>
        </w:tc>
        <w:tc>
          <w:tcPr>
            <w:tcW w:type="dxa" w:w="3744"/>
          </w:tcPr>
          <w:p>
            <w:r/>
            <w:r>
              <w:t>Stand up a hiring-time credential verification gate: no aquatics assignment is confirmed until the credential code is checked against the duty column of the authorization matrix</w:t>
            </w:r>
          </w:p>
        </w:tc>
        <w:tc>
          <w:tcPr>
            <w:tcW w:type="dxa" w:w="1872"/>
          </w:tcPr>
          <w:p>
            <w:r/>
            <w:r>
              <w:t>L. Booker</w:t>
            </w:r>
          </w:p>
        </w:tc>
        <w:tc>
          <w:tcPr>
            <w:tcW w:type="dxa" w:w="1584"/>
          </w:tcPr>
          <w:p>
            <w:r/>
            <w:r>
              <w:t>07/10/2026</w:t>
            </w:r>
          </w:p>
        </w:tc>
        <w:tc>
          <w:tcPr>
            <w:tcW w:type="dxa" w:w="1584"/>
          </w:tcPr>
          <w:p>
            <w:r/>
            <w:r>
              <w:t>Complete</w:t>
            </w:r>
          </w:p>
        </w:tc>
      </w:tr>
      <w:tr>
        <w:tc>
          <w:tcPr>
            <w:tcW w:type="dxa" w:w="576"/>
          </w:tcPr>
          <w:p>
            <w:r/>
            <w:r>
              <w:t>3</w:t>
            </w:r>
          </w:p>
        </w:tc>
        <w:tc>
          <w:tcPr>
            <w:tcW w:type="dxa" w:w="3744"/>
          </w:tcPr>
          <w:p>
            <w:r/>
            <w:r>
              <w:t>Extend expiry tracking so the system flags duty-authorization mismatches, not only lapsed dates</w:t>
            </w:r>
          </w:p>
        </w:tc>
        <w:tc>
          <w:tcPr>
            <w:tcW w:type="dxa" w:w="1872"/>
          </w:tcPr>
          <w:p>
            <w:r/>
            <w:r>
              <w:t>R. Delgado</w:t>
            </w:r>
          </w:p>
        </w:tc>
        <w:tc>
          <w:tcPr>
            <w:tcW w:type="dxa" w:w="1584"/>
          </w:tcPr>
          <w:p>
            <w:r/>
            <w:r>
              <w:t>07/24/2026</w:t>
            </w:r>
          </w:p>
        </w:tc>
        <w:tc>
          <w:tcPr>
            <w:tcW w:type="dxa" w:w="1584"/>
          </w:tcPr>
          <w:p>
            <w:r/>
            <w:r>
              <w:t>In progress</w:t>
            </w:r>
          </w:p>
        </w:tc>
      </w:tr>
      <w:tr>
        <w:tc>
          <w:tcPr>
            <w:tcW w:type="dxa" w:w="576"/>
          </w:tcPr>
          <w:p>
            <w:r/>
            <w:r>
              <w:t>4</w:t>
            </w:r>
          </w:p>
        </w:tc>
        <w:tc>
          <w:tcPr>
            <w:tcW w:type="dxa" w:w="3744"/>
          </w:tcPr>
          <w:p>
            <w:r/>
            <w:r>
              <w:t>Train all six waterfront leadership teams on the credential-track authorization matrix; signed acknowledgment from each site director</w:t>
            </w:r>
          </w:p>
        </w:tc>
        <w:tc>
          <w:tcPr>
            <w:tcW w:type="dxa" w:w="1872"/>
          </w:tcPr>
          <w:p>
            <w:r/>
            <w:r>
              <w:t>R. Delgado</w:t>
            </w:r>
          </w:p>
        </w:tc>
        <w:tc>
          <w:tcPr>
            <w:tcW w:type="dxa" w:w="1584"/>
          </w:tcPr>
          <w:p>
            <w:r/>
            <w:r>
              <w:t>07/31/2026</w:t>
            </w:r>
          </w:p>
        </w:tc>
        <w:tc>
          <w:tcPr>
            <w:tcW w:type="dxa" w:w="1584"/>
          </w:tcPr>
          <w:p>
            <w:r/>
            <w:r>
              <w:t>Scheduled</w:t>
            </w:r>
          </w:p>
        </w:tc>
      </w:tr>
      <w:tr>
        <w:tc>
          <w:tcPr>
            <w:tcW w:type="dxa" w:w="576"/>
          </w:tcPr>
          <w:p>
            <w:r/>
            <w:r>
              <w:t>5</w:t>
            </w:r>
          </w:p>
        </w:tc>
        <w:tc>
          <w:tcPr>
            <w:tcW w:type="dxa" w:w="3744"/>
          </w:tcPr>
          <w:p>
            <w:r/>
            <w:r>
              <w:t>Complete the WF4 six-site sweep at the level budget allows and record each site as cleared / unauthorized-and-examined / never-examined</w:t>
            </w:r>
          </w:p>
        </w:tc>
        <w:tc>
          <w:tcPr>
            <w:tcW w:type="dxa" w:w="1872"/>
          </w:tcPr>
          <w:p>
            <w:r/>
            <w:r>
              <w:t>P. Natarajan</w:t>
            </w:r>
          </w:p>
        </w:tc>
        <w:tc>
          <w:tcPr>
            <w:tcW w:type="dxa" w:w="1584"/>
          </w:tcPr>
          <w:p>
            <w:r/>
            <w:r>
              <w:t>08/07/2026</w:t>
            </w:r>
          </w:p>
        </w:tc>
        <w:tc>
          <w:tcPr>
            <w:tcW w:type="dxa" w:w="1584"/>
          </w:tcPr>
          <w:p>
            <w:r/>
            <w:r>
              <w:t>In progress</w:t>
            </w:r>
          </w:p>
        </w:tc>
      </w:tr>
      <w:tr>
        <w:tc>
          <w:tcPr>
            <w:tcW w:type="dxa" w:w="576"/>
          </w:tcPr>
          <w:p>
            <w:r/>
            <w:r>
              <w:t>6</w:t>
            </w:r>
          </w:p>
        </w:tc>
        <w:tc>
          <w:tcPr>
            <w:tcW w:type="dxa" w:w="3744"/>
          </w:tcPr>
          <w:p>
            <w:r/>
            <w:r>
              <w:t>Amend the swim classification roster template so the signature block prints the signer's credential code and track</w:t>
            </w:r>
          </w:p>
        </w:tc>
        <w:tc>
          <w:tcPr>
            <w:tcW w:type="dxa" w:w="1872"/>
          </w:tcPr>
          <w:p>
            <w:r/>
            <w:r>
              <w:t>R. Delgado</w:t>
            </w:r>
          </w:p>
        </w:tc>
        <w:tc>
          <w:tcPr>
            <w:tcW w:type="dxa" w:w="1584"/>
          </w:tcPr>
          <w:p>
            <w:r/>
            <w:r>
              <w:t>07/10/2026</w:t>
            </w:r>
          </w:p>
        </w:tc>
        <w:tc>
          <w:tcPr>
            <w:tcW w:type="dxa" w:w="1584"/>
          </w:tcPr>
          <w:p>
            <w:r/>
            <w:r>
              <w:t>Complete</w:t>
            </w:r>
          </w:p>
        </w:tc>
      </w:tr>
      <w:tr>
        <w:tc>
          <w:tcPr>
            <w:tcW w:type="dxa" w:w="576"/>
          </w:tcPr>
          <w:p>
            <w:r/>
            <w:r>
              <w:t>7</w:t>
            </w:r>
          </w:p>
        </w:tc>
        <w:tc>
          <w:tcPr>
            <w:tcW w:type="dxa" w:w="3744"/>
          </w:tcPr>
          <w:p>
            <w:r/>
            <w:r>
              <w:t>Brief the broker and carrier under WF5 so the finding is framed as a credential-authority defect with a clean operational record, not a systemic controls failure</w:t>
            </w:r>
          </w:p>
        </w:tc>
        <w:tc>
          <w:tcPr>
            <w:tcW w:type="dxa" w:w="1872"/>
          </w:tcPr>
          <w:p>
            <w:r/>
            <w:r>
              <w:t>P. Natarajan</w:t>
            </w:r>
          </w:p>
        </w:tc>
        <w:tc>
          <w:tcPr>
            <w:tcW w:type="dxa" w:w="1584"/>
          </w:tcPr>
          <w:p>
            <w:r/>
            <w:r>
              <w:t>07/02/2026</w:t>
            </w:r>
          </w:p>
        </w:tc>
        <w:tc>
          <w:tcPr>
            <w:tcW w:type="dxa" w:w="1584"/>
          </w:tcPr>
          <w:p>
            <w:r/>
            <w:r>
              <w:t>Complete</w:t>
            </w:r>
          </w:p>
        </w:tc>
      </w:tr>
      <w:tr>
        <w:tc>
          <w:tcPr>
            <w:tcW w:type="dxa" w:w="576"/>
          </w:tcPr>
          <w:p>
            <w:r/>
            <w:r>
              <w:t>8</w:t>
            </w:r>
          </w:p>
        </w:tc>
        <w:tc>
          <w:tcPr>
            <w:tcW w:type="dxa" w:w="3744"/>
          </w:tcPr>
          <w:p>
            <w:r/>
            <w:r>
              <w:t>File this plan and evidence of closure with the Bureau before 07/30/2026</w:t>
            </w:r>
          </w:p>
        </w:tc>
        <w:tc>
          <w:tcPr>
            <w:tcW w:type="dxa" w:w="1872"/>
          </w:tcPr>
          <w:p>
            <w:r/>
            <w:r>
              <w:t>P. Natarajan</w:t>
            </w:r>
          </w:p>
        </w:tc>
        <w:tc>
          <w:tcPr>
            <w:tcW w:type="dxa" w:w="1584"/>
          </w:tcPr>
          <w:p>
            <w:r/>
            <w:r>
              <w:t>07/30/2026</w:t>
            </w:r>
          </w:p>
        </w:tc>
        <w:tc>
          <w:tcPr>
            <w:tcW w:type="dxa" w:w="1584"/>
          </w:tcPr>
          <w:p>
            <w:r/>
            <w:r>
              <w:t>Open</w:t>
            </w:r>
          </w:p>
        </w:tc>
      </w:tr>
    </w:tbl>
    <w:p/>
    <w:p>
      <w:pPr>
        <w:shd w:val="clear" w:color="auto" w:fill="0F6B6B"/>
        <w:spacing w:before="200" w:after="120"/>
      </w:pPr>
      <w:r>
        <w:rPr>
          <w:rFonts w:ascii="Palatino Linotype" w:hAnsi="Palatino Linotype"/>
          <w:b/>
          <w:color w:val="FFFFFF"/>
          <w:sz w:val="28"/>
        </w:rPr>
        <w:t>6. Scheduling constraints</w:t>
      </w:r>
    </w:p>
    <w:p>
      <w:r>
        <w:rPr>
          <w:b w:val="0"/>
          <w:i w:val="0"/>
        </w:rPr>
        <w:t>Three deadlines set by three different authorities at three different precisions govern this work, and they do not align. The Bureau's finding letter sets the corrective-action clock relative to its own date: forty-five (45) days from June 15, 2026, i.e., July 30, 2026. The Bureau's Licensing Unit separately requires the 2027 license renewal application by a fixed calendar date, July 15, 2026, and that application must represent the camp's staffing and procedures accurately while this plan is mid-execution. Great Pines Mutual underwriting wants the renewal questionnaire and loss-related documentation thirty (30) days before the August 1, 2026 policy anniversary, i.e., by July 2, 2026, which fell before several corrective actions were complete. All three precede the season close on 2026-08-20. The WF5 deadline reconciliation is tracked by the Camp Administration office; this plan lists the constraints but does not attempt to renegotiate them.</w:t>
      </w:r>
    </w:p>
    <w:p>
      <w:pPr>
        <w:shd w:val="clear" w:color="auto" w:fill="0F6B6B"/>
        <w:spacing w:before="200" w:after="120"/>
      </w:pPr>
      <w:r>
        <w:rPr>
          <w:rFonts w:ascii="Palatino Linotype" w:hAnsi="Palatino Linotype"/>
          <w:b/>
          <w:color w:val="FFFFFF"/>
          <w:sz w:val="28"/>
        </w:rPr>
        <w:t>7. Verification and monitoring</w:t>
      </w:r>
    </w:p>
    <w:p>
      <w:r>
        <w:rPr>
          <w:b w:val="0"/>
          <w:i w:val="0"/>
        </w:rPr>
        <w:t>Closure evidence for each action is filed with this plan: re-assessment rosters signed by authorized assessors, the hiring-gate procedure as revised, training acknowledgments, and the sweep report. The Director of Aquatics Standards will re-run the WF1 cert/roster/matrix cross-reference at the end of the 2026 season and at the opening of the 2027 season to confirm the fix holds. The annual swimming safety plan review for 2026 will include a specific line item confirming that hiring-time checks and ongoing tracking now test the same authorization question.</w:t>
      </w:r>
    </w:p>
    <w:p>
      <w:pPr>
        <w:shd w:val="clear" w:color="auto" w:fill="0F6B6B"/>
        <w:spacing w:before="200" w:after="120"/>
      </w:pPr>
      <w:r>
        <w:rPr>
          <w:rFonts w:ascii="Palatino Linotype" w:hAnsi="Palatino Linotype"/>
          <w:b/>
          <w:color w:val="FFFFFF"/>
          <w:sz w:val="28"/>
        </w:rPr>
        <w:t>8. Scope statement</w:t>
      </w:r>
    </w:p>
    <w:p>
      <w:r>
        <w:rPr>
          <w:b w:val="0"/>
          <w:i w:val="0"/>
        </w:rPr>
        <w:t>Under WF2, Corporate Risk and Compliance performed a scope-isolation exercise across the Corrigwell operational record: water-quality logs (free chlorine, pH, cyanuric acid ranges per CDC Model Aquatic Health Code norms), 1:25 ratio schedules, and incident and first-aid logs for 2022 through 2026. Those logs carry no credential content by design, and the exercise confirmed none exists. The finding therefore stands on credential authority alone. No camper was placed in water beyond a tested band because of the sign-off defect; assessments were administered by waterfront staff and the defect sits in who certified the record. This scope statement is repeated in the response filed with the Bureau and in the underwriting narrative.</w:t>
      </w:r>
    </w:p>
    <w:p>
      <w:pPr>
        <w:shd w:val="clear" w:color="auto" w:fill="0F6B6B"/>
        <w:spacing w:before="200" w:after="120"/>
      </w:pPr>
      <w:r>
        <w:rPr>
          <w:rFonts w:ascii="Palatino Linotype" w:hAnsi="Palatino Linotype"/>
          <w:b/>
          <w:color w:val="FFFFFF"/>
          <w:sz w:val="28"/>
        </w:rPr>
        <w:t>9. Budget note</w:t>
      </w:r>
    </w:p>
    <w:p>
      <w:r>
        <w:rPr>
          <w:b w:val="0"/>
          <w:i w:val="0"/>
        </w:rPr>
        <w:t>The 2026 risk budget supports full re-examination at Corrigwell and one sibling site. The remaining sibling sites are documented as never-examined - an absence of examination, not a second finding - and are scheduled into the 2027 pre-season plan if the fall budget amendment is approved. See the WF4 sweep report for the per-site record.</w:t>
      </w:r>
    </w:p>
    <w:p>
      <w:r>
        <w:rPr>
          <w:b w:val="0"/>
          <w:i w:val="0"/>
        </w:rPr>
        <w:t>Communication discipline accompanies the budget: site directors at the four never-examined sites were briefed on July 29 with the exact language of their site's status, so that no director represents their site as 'cleared' to parents, staff, or the county. The briefed language is on file with this plan.</w:t>
      </w:r>
    </w:p>
    <w:p/>
    <w:p>
      <w:r>
        <w:rPr>
          <w:b w:val="0"/>
          <w:i w:val="0"/>
        </w:rPr>
        <w:t>Prepared by: Priya Natarajan, Director of Risk and Compliance</w:t>
      </w:r>
    </w:p>
    <w:p>
      <w:r>
        <w:rPr>
          <w:b w:val="0"/>
          <w:i w:val="0"/>
        </w:rPr>
        <w:t>Reviewed by: Raquel I. Delgado, Director of Aquatics Standards</w:t>
      </w:r>
    </w:p>
    <w:p>
      <w:r>
        <w:rPr>
          <w:b w:val="0"/>
          <w:i w:val="0"/>
        </w:rPr>
        <w:t>Approved by: Harold J. Brennan, Executive Director        Date: 06/29/2026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 Antiqua" w:hAnsi="Book Antiqua" w:eastAsia="Book Antiqua" w:cs="Book Antiqu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alatino Linotype" w:hAnsi="Palatino Linotype" w:eastAsia="Palatino Linotype" w:cs="Palatino Linotype"/>
      <w:b/>
      <w:bCs/>
      <w:color w:val="0F6B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alatino Linotype" w:hAnsi="Palatino Linotype" w:eastAsia="Palatino Linotype" w:cs="Palatino Linotype"/>
      <w:b/>
      <w:bCs/>
      <w:color w:val="0F6B6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J. Brennan</dc:creator>
  <cp:keywords/>
  <dc:description>generated by python-docx</dc:description>
  <cp:lastModifiedBy/>
  <cp:revision>1</cp:revision>
  <dcterms:created xsi:type="dcterms:W3CDTF">2026-03-17T07:23:38Z</dcterms:created>
  <dcterms:modified xsi:type="dcterms:W3CDTF">2026-03-20T07:23:38Z</dcterms:modified>
  <cp:category/>
</cp:coreProperties>
</file>