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F6B6B"/>
        <w:spacing w:before="200" w:after="120"/>
      </w:pPr>
      <w:r>
        <w:rPr>
          <w:rFonts w:ascii="Palatino Linotype" w:hAnsi="Palatino Linotype"/>
          <w:b/>
          <w:color w:val="FFFFFF"/>
          <w:sz w:val="28"/>
        </w:rPr>
        <w:t>Scope Isolation Memo (WF2)</w:t>
      </w:r>
    </w:p>
    <w:p>
      <w:r>
        <w:rPr>
          <w:b w:val="0"/>
          <w:i/>
        </w:rPr>
        <w:t>KVL Camps - Corporate Risk and Compliance - July 6, 2026</w:t>
      </w:r>
    </w:p>
    <w:tbl>
      <w:tblPr>
        <w:tblStyle w:val="TableGrid"/>
        <w:tblW w:type="auto" w:w="0"/>
        <w:jc w:val="left"/>
        <w:tblLook w:firstColumn="1" w:firstRow="1" w:lastColumn="0" w:lastRow="0" w:noHBand="0" w:noVBand="1" w:val="04A0"/>
      </w:tblPr>
      <w:tblGrid>
        <w:gridCol w:w="4680"/>
        <w:gridCol w:w="4680"/>
      </w:tblGrid>
      <w:tr>
        <w:tc>
          <w:tcPr>
            <w:tcW w:type="dxa" w:w="3168"/>
          </w:tcPr>
          <w:p>
            <w:r/>
            <w:r>
              <w:rPr>
                <w:b/>
              </w:rPr>
              <w:t>To</w:t>
            </w:r>
          </w:p>
        </w:tc>
        <w:tc>
          <w:tcPr>
            <w:tcW w:type="dxa" w:w="6192"/>
          </w:tcPr>
          <w:p>
            <w:r/>
            <w:r>
              <w:t>File; Bureau response docket; underwriting narrative docket</w:t>
            </w:r>
          </w:p>
        </w:tc>
      </w:tr>
      <w:tr>
        <w:tc>
          <w:tcPr>
            <w:tcW w:type="dxa" w:w="3168"/>
          </w:tcPr>
          <w:p>
            <w:r/>
            <w:r>
              <w:rPr>
                <w:b/>
              </w:rPr>
              <w:t>From</w:t>
            </w:r>
          </w:p>
        </w:tc>
        <w:tc>
          <w:tcPr>
            <w:tcW w:type="dxa" w:w="6192"/>
          </w:tcPr>
          <w:p>
            <w:r/>
            <w:r>
              <w:t>Priya Natarajan, Director of Risk and Compliance</w:t>
            </w:r>
          </w:p>
        </w:tc>
      </w:tr>
      <w:tr>
        <w:tc>
          <w:tcPr>
            <w:tcW w:type="dxa" w:w="3168"/>
          </w:tcPr>
          <w:p>
            <w:r/>
            <w:r>
              <w:rPr>
                <w:b/>
              </w:rPr>
              <w:t>Date</w:t>
            </w:r>
          </w:p>
        </w:tc>
        <w:tc>
          <w:tcPr>
            <w:tcW w:type="dxa" w:w="6192"/>
          </w:tcPr>
          <w:p>
            <w:r/>
            <w:r>
              <w:t>07/06/2026</w:t>
            </w:r>
          </w:p>
        </w:tc>
      </w:tr>
      <w:tr>
        <w:tc>
          <w:tcPr>
            <w:tcW w:type="dxa" w:w="3168"/>
          </w:tcPr>
          <w:p>
            <w:r/>
            <w:r>
              <w:rPr>
                <w:b/>
              </w:rPr>
              <w:t>Re</w:t>
            </w:r>
          </w:p>
        </w:tc>
        <w:tc>
          <w:tcPr>
            <w:tcW w:type="dxa" w:w="6192"/>
          </w:tcPr>
          <w:p>
            <w:r/>
            <w:r>
              <w:t>WF2 scope-isolation exercise - confirming the operational record carries no credential content</w:t>
            </w:r>
          </w:p>
        </w:tc>
      </w:tr>
    </w:tbl>
    <w:p/>
    <w:p>
      <w:pPr>
        <w:shd w:val="clear" w:color="auto" w:fill="0F6B6B"/>
        <w:spacing w:before="200" w:after="120"/>
      </w:pPr>
      <w:r>
        <w:rPr>
          <w:rFonts w:ascii="Palatino Linotype" w:hAnsi="Palatino Linotype"/>
          <w:b/>
          <w:color w:val="FFFFFF"/>
          <w:sz w:val="28"/>
        </w:rPr>
        <w:t>Purpose</w:t>
      </w:r>
    </w:p>
    <w:p>
      <w:r>
        <w:rPr>
          <w:b w:val="0"/>
          <w:i w:val="0"/>
        </w:rPr>
        <w:t>Before drafting the Bureau response and the underwriting narrative, we ran the WF2 scope-isolation exercise: a line-by-line review of the Corrigwell operational record for 2022 through 2026 to confirm that it contains no credential or authorization content, so that the finding stays scoped to credential authority and the clean operational record is neither inflated nor dragged into the defect.</w:t>
      </w:r>
    </w:p>
    <w:p>
      <w:pPr>
        <w:shd w:val="clear" w:color="auto" w:fill="0F6B6B"/>
        <w:spacing w:before="200" w:after="120"/>
      </w:pPr>
      <w:r>
        <w:rPr>
          <w:rFonts w:ascii="Palatino Linotype" w:hAnsi="Palatino Linotype"/>
          <w:b/>
          <w:color w:val="FFFFFF"/>
          <w:sz w:val="28"/>
        </w:rPr>
        <w:t>Records reviewed</w:t>
      </w:r>
    </w:p>
    <w:p>
      <w:pPr>
        <w:pStyle w:val="ListBullet"/>
      </w:pPr>
      <w:r>
        <w:t>Water-quality logs, 2025 and 2026 seasons: daily free chlorine, pH, combined chlorine, cyanuric acid, alkalinity, and temperature readings, tested three times daily against CDC Model Aquatic Health Code norms, with corrective entries where a reading drifted. No credential fields exist anywhere on these logs.</w:t>
      </w:r>
    </w:p>
    <w:p>
      <w:pPr>
        <w:pStyle w:val="ListBullet"/>
      </w:pPr>
      <w:r>
        <w:t>Ratio schedules, 2025 and 2026: rotation-by-rotation swimmer counts, guards required at 1:25, guards assigned, and supervisor initials. Guard names appear as duty assignments only; no certification or authorization data is recorded on the schedule.</w:t>
      </w:r>
    </w:p>
    <w:p>
      <w:pPr>
        <w:pStyle w:val="ListBullet"/>
      </w:pPr>
      <w:r>
        <w:t>Incident and first-aid logs, 2025 and 2026: incident type, response, equipment used, and notification fields. No credential fields exist on these logs.</w:t>
      </w:r>
    </w:p>
    <w:p>
      <w:pPr>
        <w:shd w:val="clear" w:color="auto" w:fill="0F6B6B"/>
        <w:spacing w:before="200" w:after="120"/>
      </w:pPr>
      <w:r>
        <w:rPr>
          <w:rFonts w:ascii="Palatino Linotype" w:hAnsi="Palatino Linotype"/>
          <w:b/>
          <w:color w:val="FFFFFF"/>
          <w:sz w:val="28"/>
        </w:rPr>
        <w:t>Conclusion</w:t>
      </w:r>
    </w:p>
    <w:p>
      <w:r>
        <w:rPr>
          <w:b w:val="0"/>
          <w:i w:val="0"/>
        </w:rPr>
        <w:t>The operational record is clean and is silent on credentials. It therefore cannot support the finding, and the finding cannot impeach it. The two records answer different questions: the operational record answers whether the water was safe and watched (it was); the credential record answers who was authorized to certify swim-ability assessments (at Corrigwell, from 2022 (spring), someone whose supervisor-track credential the matrix does not authorize for that duty). The Bureau response and the underwriting narrative both open with this separation.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ook Antiqua" w:hAnsi="Book Antiqua" w:eastAsia="Book Antiqua" w:cs="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alatino Linotype" w:hAnsi="Palatino Linotype" w:eastAsia="Palatino Linotype" w:cs="Palatino Linotype"/>
      <w:b/>
      <w:bCs/>
      <w:color w:val="0F6B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alatino Linotype" w:hAnsi="Palatino Linotype" w:eastAsia="Palatino Linotype" w:cs="Palatino Linotype"/>
      <w:b/>
      <w:bCs/>
      <w:color w:val="0F6B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16.0300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J. Brennan</dc:creator>
  <cp:keywords/>
  <dc:description>generated by python-docx</dc:description>
  <cp:lastModifiedBy/>
  <cp:revision>1</cp:revision>
  <dcterms:created xsi:type="dcterms:W3CDTF">2022-12-21T14:35:32Z</dcterms:created>
  <dcterms:modified xsi:type="dcterms:W3CDTF">2023-04-30T14:35:32Z</dcterms:modified>
  <cp:category/>
</cp:coreProperties>
</file>