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Noto Sans" w:hAnsi="Noto Sans"/>
          <w:b/>
          <w:color w:val="0B5D5E"/>
          <w:sz w:val="18"/>
        </w:rPr>
        <w:t>KVL CAMPS</w:t>
      </w:r>
    </w:p>
    <w:p>
      <w:pPr>
        <w:pStyle w:val="Title"/>
      </w:pPr>
      <w:r>
        <w:t>Swim Assessment Sign-Off</w:t>
        <w:br/>
        <w:t>Compliance Audit</w:t>
      </w:r>
    </w:p>
    <w:p>
      <w:pPr>
        <w:pStyle w:val="Subtitle"/>
      </w:pPr>
      <w:r>
        <w:t>Decision-date memorandum for the Board Risk Committee and Bureau of Youth Camp Licensing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800"/>
            <w:shd w:fill="173B45"/>
            <w:vAlign w:val="center"/>
            <w:tcMar>
              <w:top w:w="80" w:type="dxa"/>
              <w:start w:w="90" w:type="dxa"/>
              <w:bottom w:w="80" w:type="dxa"/>
              <w:end w:w="90" w:type="dxa"/>
            </w:tcMar>
          </w:tcPr>
          <w:p>
            <w:pPr>
              <w:spacing w:after="0" w:before="0" w:line="240" w:lineRule="auto"/>
            </w:pPr>
            <w:r/>
            <w:r>
              <w:rPr>
                <w:rFonts w:ascii="Noto Sans" w:hAnsi="Noto Sans"/>
                <w:b/>
                <w:color w:val="FFFFFF"/>
                <w:sz w:val="15"/>
              </w:rPr>
              <w:t>DECISION DATE</w:t>
            </w:r>
          </w:p>
        </w:tc>
        <w:tc>
          <w:tcPr>
            <w:tcW w:type="dxa" w:w="1944"/>
            <w:shd w:fill="173B45"/>
            <w:vAlign w:val="center"/>
            <w:tcMar>
              <w:top w:w="80" w:type="dxa"/>
              <w:start w:w="90" w:type="dxa"/>
              <w:bottom w:w="80" w:type="dxa"/>
              <w:end w:w="90" w:type="dxa"/>
            </w:tcMar>
          </w:tcPr>
          <w:p>
            <w:pPr>
              <w:spacing w:after="0" w:before="0" w:line="240" w:lineRule="auto"/>
            </w:pPr>
            <w:r/>
            <w:r>
              <w:rPr>
                <w:rFonts w:ascii="Noto Sans" w:hAnsi="Noto Sans"/>
                <w:b/>
                <w:color w:val="FFFFFF"/>
                <w:sz w:val="15"/>
              </w:rPr>
              <w:t>EVIDENCE CUT-OFF</w:t>
            </w:r>
          </w:p>
        </w:tc>
        <w:tc>
          <w:tcPr>
            <w:tcW w:type="dxa" w:w="3384"/>
            <w:shd w:fill="173B45"/>
            <w:vAlign w:val="center"/>
            <w:tcMar>
              <w:top w:w="80" w:type="dxa"/>
              <w:start w:w="90" w:type="dxa"/>
              <w:bottom w:w="80" w:type="dxa"/>
              <w:end w:w="90" w:type="dxa"/>
            </w:tcMar>
          </w:tcPr>
          <w:p>
            <w:pPr>
              <w:spacing w:after="0" w:before="0" w:line="240" w:lineRule="auto"/>
            </w:pPr>
            <w:r/>
            <w:r>
              <w:rPr>
                <w:rFonts w:ascii="Noto Sans" w:hAnsi="Noto Sans"/>
                <w:b/>
                <w:color w:val="FFFFFF"/>
                <w:sz w:val="15"/>
              </w:rPr>
              <w:t>FACILITY / CASE</w:t>
            </w:r>
          </w:p>
        </w:tc>
        <w:tc>
          <w:tcPr>
            <w:tcW w:type="dxa" w:w="3672"/>
            <w:shd w:fill="173B45"/>
            <w:vAlign w:val="center"/>
            <w:tcMar>
              <w:top w:w="80" w:type="dxa"/>
              <w:start w:w="90" w:type="dxa"/>
              <w:bottom w:w="80" w:type="dxa"/>
              <w:end w:w="90" w:type="dxa"/>
            </w:tcMar>
          </w:tcPr>
          <w:p>
            <w:pPr>
              <w:spacing w:after="0" w:before="0" w:line="240" w:lineRule="auto"/>
            </w:pPr>
            <w:r/>
            <w:r>
              <w:rPr>
                <w:rFonts w:ascii="Noto Sans" w:hAnsi="Noto Sans"/>
                <w:b/>
                <w:color w:val="FFFFFF"/>
                <w:sz w:val="15"/>
              </w:rPr>
              <w:t>PREPARED FOR</w:t>
            </w:r>
          </w:p>
        </w:tc>
      </w:tr>
      <w:tr>
        <w:trPr>
          <w:cantSplit/>
        </w:trPr>
        <w:tc>
          <w:tcPr>
            <w:tcW w:type="dxa" w:w="1800"/>
            <w:vAlign w:val="center"/>
            <w:tcMar>
              <w:top w:w="80" w:type="dxa"/>
              <w:start w:w="90" w:type="dxa"/>
              <w:bottom w:w="80" w:type="dxa"/>
              <w:end w:w="90" w:type="dxa"/>
            </w:tcMar>
          </w:tcPr>
          <w:p>
            <w:pPr>
              <w:spacing w:after="0" w:before="0" w:line="240" w:lineRule="auto"/>
            </w:pPr>
            <w:r/>
            <w:r>
              <w:rPr>
                <w:rFonts w:ascii="Noto Sans" w:hAnsi="Noto Sans"/>
                <w:b w:val="0"/>
                <w:color w:val="1D2930"/>
                <w:sz w:val="16"/>
              </w:rPr>
              <w:t>July 1, 2026</w:t>
            </w:r>
          </w:p>
        </w:tc>
        <w:tc>
          <w:tcPr>
            <w:tcW w:type="dxa" w:w="1944"/>
            <w:vAlign w:val="center"/>
            <w:tcMar>
              <w:top w:w="80" w:type="dxa"/>
              <w:start w:w="90" w:type="dxa"/>
              <w:bottom w:w="80" w:type="dxa"/>
              <w:end w:w="90" w:type="dxa"/>
            </w:tcMar>
          </w:tcPr>
          <w:p>
            <w:pPr>
              <w:spacing w:after="0" w:before="0" w:line="240" w:lineRule="auto"/>
            </w:pPr>
            <w:r/>
            <w:r>
              <w:rPr>
                <w:rFonts w:ascii="Noto Sans" w:hAnsi="Noto Sans"/>
                <w:b w:val="0"/>
                <w:color w:val="1D2930"/>
                <w:sz w:val="16"/>
              </w:rPr>
              <w:t>August 20, 2026</w:t>
            </w:r>
          </w:p>
        </w:tc>
        <w:tc>
          <w:tcPr>
            <w:tcW w:type="dxa" w:w="3384"/>
            <w:vAlign w:val="center"/>
            <w:tcMar>
              <w:top w:w="80" w:type="dxa"/>
              <w:start w:w="90" w:type="dxa"/>
              <w:bottom w:w="80" w:type="dxa"/>
              <w:end w:w="90" w:type="dxa"/>
            </w:tcMar>
          </w:tcPr>
          <w:p>
            <w:pPr>
              <w:spacing w:after="0" w:before="0" w:line="240" w:lineRule="auto"/>
            </w:pPr>
            <w:r/>
            <w:r>
              <w:rPr>
                <w:rFonts w:ascii="Noto Sans" w:hAnsi="Noto Sans"/>
                <w:b w:val="0"/>
                <w:color w:val="1D2930"/>
                <w:sz w:val="16"/>
              </w:rPr>
              <w:t>Corrigwell / BYC-FND-2026-0147</w:t>
            </w:r>
          </w:p>
        </w:tc>
        <w:tc>
          <w:tcPr>
            <w:tcW w:type="dxa" w:w="3672"/>
            <w:vAlign w:val="center"/>
            <w:tcMar>
              <w:top w:w="80" w:type="dxa"/>
              <w:start w:w="90" w:type="dxa"/>
              <w:bottom w:w="80" w:type="dxa"/>
              <w:end w:w="90" w:type="dxa"/>
            </w:tcMar>
          </w:tcPr>
          <w:p>
            <w:pPr>
              <w:spacing w:after="0" w:before="0" w:line="240" w:lineRule="auto"/>
            </w:pPr>
            <w:r/>
            <w:r>
              <w:rPr>
                <w:rFonts w:ascii="Noto Sans" w:hAnsi="Noto Sans"/>
                <w:b w:val="0"/>
                <w:color w:val="1D2930"/>
                <w:sz w:val="16"/>
              </w:rPr>
              <w:t>Board Risk Committee and Bureau</w:t>
            </w:r>
          </w:p>
        </w:tc>
      </w:tr>
    </w:tbl>
    <w:p>
      <w:pPr>
        <w:spacing w:after="0"/>
      </w:pPr>
    </w:p>
    <w:p>
      <w:pPr>
        <w:keepLines/>
        <w:spacing w:before="40" w:after="160"/>
        <w:ind w:left="173" w:right="173"/>
      </w:pPr>
      <w:r>
        <w:rPr>
          <w:b/>
        </w:rPr>
        <w:t xml:space="preserve">Basis of presentation. </w:t>
      </w:r>
      <w:r>
        <w:t>July 1 is the requested decision date. Later-dated 2026 records are used only to test whether the July forecast was achieved. They are not represented as information available on July 1. All date intervals below use calendar days and exclude the decision date.</w:t>
      </w:r>
    </w:p>
    <w:tbl>
      <w:tblPr>
        <w:tblW w:type="auto" w:w="0"/>
        <w:jc w:val="center"/>
        <w:tblLook w:firstColumn="1" w:firstRow="1" w:lastColumn="0" w:lastRow="0" w:noHBand="0" w:noVBand="1" w:val="04A0"/>
      </w:tblPr>
      <w:tblGrid>
        <w:gridCol w:w="10282"/>
      </w:tblGrid>
      <w:tr>
        <w:tc>
          <w:tcPr>
            <w:tcW w:type="dxa" w:w="10282"/>
            <w:shd w:fill="EAF3F2"/>
            <w:tcMar>
              <w:top w:w="150" w:type="dxa"/>
              <w:start w:w="180" w:type="dxa"/>
              <w:bottom w:w="150" w:type="dxa"/>
              <w:end w:w="180" w:type="dxa"/>
            </w:tcMar>
          </w:tcPr>
          <w:p>
            <w:pPr>
              <w:spacing w:after="80"/>
            </w:pPr>
            <w:r/>
            <w:r>
              <w:rPr>
                <w:rFonts w:ascii="Noto Sans" w:hAnsi="Noto Sans"/>
                <w:b/>
                <w:color w:val="0B5D5E"/>
                <w:sz w:val="16"/>
              </w:rPr>
              <w:t>AUDIT DETERMINATION</w:t>
            </w:r>
          </w:p>
          <w:p>
            <w:pPr>
              <w:spacing w:after="0"/>
            </w:pPr>
            <w:r>
              <w:rPr>
                <w:rFonts w:ascii="Noto Sans" w:hAnsi="Noto Sans"/>
                <w:b/>
                <w:color w:val="173B45"/>
                <w:sz w:val="40"/>
              </w:rPr>
              <w:t>800</w:t>
            </w:r>
            <w:r>
              <w:t xml:space="preserve"> Corrigwell camper-session classifications require controlled re-administration by season close. Zero 2026 wristbands may carry into 2027. The credential file contains 33 people with a date-current WSI, LGI, or LG-WF by June 26, but zero staff members are auditable as deployable because no Form ASC-2 or conflict-free assignment/availability chain is present. The evidence does not support completion by the July deadlines.</w:t>
            </w:r>
          </w:p>
        </w:tc>
      </w:tr>
    </w:tbl>
    <w:p>
      <w:pPr>
        <w:pStyle w:val="Heading1"/>
      </w:pPr>
      <w:r>
        <w:t>Executive Conclusions</w:t>
      </w:r>
    </w:p>
    <w:p>
      <w:pPr>
        <w:pStyle w:val="ListBullet"/>
        <w:spacing w:after="60"/>
        <w:ind w:left="259" w:hanging="202"/>
      </w:pPr>
      <w:r>
        <w:t>Regulatory re-test scope is Corrigwell only. The Bureau finding names Corrigwell and requires re-administration for currently enrolled campers whose classification rests on the defective sign-off. The final legal roster places all 800 2026 records under Martin T. Eberly's June 26 AQS certification, including 520 later-session rows appended after that date. AQS is current but not assessment-authorized. [S1-S5]</w:t>
      </w:r>
    </w:p>
    <w:p>
      <w:pPr>
        <w:pStyle w:val="ListBullet"/>
        <w:spacing w:after="60"/>
        <w:ind w:left="259" w:hanging="202"/>
      </w:pPr>
      <w:r>
        <w:t>The 800-record denominator is 280 Session 1 + 288 Session 2 + 232 Session 3. It is not the 372 campers classified as green-band Swimmers: the corrective rule attaches to the validity of every classification, not band level. Historical exposure is 3,200 records for 2022-2025; those former-session records are not an additional automatic re-test population. [S4-S6]</w:t>
      </w:r>
    </w:p>
    <w:p>
      <w:pPr>
        <w:pStyle w:val="ListBullet"/>
        <w:spacing w:after="60"/>
        <w:ind w:left="259" w:hanging="202"/>
      </w:pPr>
      <w:r>
        <w:t>No wristband carries into 2027 as a matter of policy. All 800 campers must be tested afresh in 2027 if enrolled. The supplied files do not contain a 2027 enrollment roster, so they cannot establish how many of the same people will return. [S4]</w:t>
      </w:r>
    </w:p>
    <w:p>
      <w:pPr>
        <w:pStyle w:val="ListBullet"/>
        <w:spacing w:after="60"/>
        <w:ind w:left="259" w:hanging="202"/>
      </w:pPr>
      <w:r>
        <w:t>The original Bureau finding remains credential-only, but the raw operating logs do not support repeating that the operational record was complete and clean. Chemistry excursions without documented correction, buddy-board ratio exceptions, and incomplete incident follow-up should be disclosed as separate operating and record-control matters. [S1, S10-S12]</w:t>
      </w:r>
    </w:p>
    <w:p>
      <w:pPr>
        <w:pStyle w:val="ListBullet"/>
        <w:spacing w:after="60"/>
        <w:ind w:left="259" w:hanging="202"/>
      </w:pPr>
      <w:r>
        <w:t>No supplied incident record documents submersion, unresponsiveness, EMS transport, or a linked claim. The files do not contain the Aldervale statutory incident-reportability schedule, so the evidence supports disclosure of operating exceptions but not a conclusion that any camper event was independently state-reportable. [S12]</w:t>
      </w:r>
    </w:p>
    <w:p>
      <w:pPr>
        <w:pStyle w:val="Heading1"/>
      </w:pPr>
      <w:r>
        <w:t>1. Scope, Authority, and Exclusions</w:t>
      </w:r>
    </w:p>
    <w:p>
      <w:r>
        <w:rPr>
          <w:b/>
        </w:rPr>
        <w:t xml:space="preserve">Authority hierarchy. </w:t>
      </w:r>
      <w:r>
        <w:t>The Bureau finding controls the regulatory case scope; the controlling credential matrix determines authorization; the legal classification roster determines the affected count; the completion instructions determine whether a roster is signed after the session; and the operating policies plus buddy-board procedure determine chemistry and ratio compliance. The August sweep report controls formal site labels but examined only signer credential track, not roster timing or Form ASC-2. [S1-S4, S7, S10]</w:t>
      </w:r>
    </w:p>
    <w:p>
      <w:r>
        <w:rPr>
          <w:b/>
        </w:rPr>
        <w:t xml:space="preserve">Conflict rule. </w:t>
      </w:r>
      <w:r>
        <w:t>The June 15 Bureau letter and the July 6 internal scope memo say the operational record was complete and clean. The raw legal logs contain the measurements and counts and therefore govern the factual re-audit. The Bureau letter continues to govern the scope of its original finding, but it cannot be used to override contrary readings in the source logs. [S1, S9-S12]</w:t>
      </w:r>
    </w:p>
    <w:p>
      <w:r>
        <w:rPr>
          <w:b/>
        </w:rPr>
        <w:t xml:space="preserve">Exclusions. </w:t>
      </w:r>
      <w:r>
        <w:t>NYC and Chicago regional files under public/ were excluded. No KVL location is labeled delisted in the supplied record; all six 2026 youth-camp licenses and waterfront permits are active. Historical entries marked expired or superseded are not delistings. Four never-examined sites are segregated below and are not used to claim compliance or to calculate the Corrigwell Bureau re-test scope. [S7, S16]</w:t>
      </w:r>
    </w:p>
    <w:p>
      <w:pPr>
        <w:pStyle w:val="Heading1"/>
      </w:pPr>
      <w:r>
        <w:t>2. Six-Site Sign-Off Audit</w:t>
      </w:r>
    </w:p>
    <w:p>
      <w:pPr>
        <w:pStyle w:val="Caption"/>
        <w:spacing w:before="100" w:after="60"/>
      </w:pPr>
      <w:r>
        <w:rPr>
          <w:b/>
        </w:rPr>
        <w:t>Table 1. Six-site classification and record-completeness audit. Sources: formal WF4 sweep dated August 7, 2026; direct 2026 site rosters; legal roster completion rule. [S3, S7, S15]</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80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SITE</w:t>
            </w:r>
          </w:p>
        </w:tc>
        <w:tc>
          <w:tcPr>
            <w:tcW w:type="dxa" w:w="208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FORMAL WF4 STATUS</w:t>
            </w:r>
          </w:p>
        </w:tc>
        <w:tc>
          <w:tcPr>
            <w:tcW w:type="dxa" w:w="4032"/>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DIRECT RECORD TEST</w:t>
            </w:r>
          </w:p>
        </w:tc>
        <w:tc>
          <w:tcPr>
            <w:tcW w:type="dxa" w:w="360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DISPOSITION</w:t>
            </w:r>
          </w:p>
        </w:tc>
      </w:tr>
      <w:tr>
        <w:trPr>
          <w:cantSplit/>
        </w:trPr>
        <w:tc>
          <w:tcPr>
            <w:tcW w:type="dxa" w:w="1800"/>
            <w:vAlign w:val="center"/>
            <w:tcMar>
              <w:top w:w="80" w:type="dxa"/>
              <w:start w:w="90" w:type="dxa"/>
              <w:bottom w:w="80" w:type="dxa"/>
              <w:end w:w="90" w:type="dxa"/>
            </w:tcMar>
          </w:tcPr>
          <w:p>
            <w:pPr>
              <w:spacing w:after="0" w:before="0" w:line="240" w:lineRule="auto"/>
            </w:pPr>
            <w:r/>
            <w:r>
              <w:rPr>
                <w:rFonts w:ascii="Noto Sans" w:hAnsi="Noto Sans"/>
                <w:b/>
                <w:color w:val="1D2930"/>
                <w:sz w:val="14"/>
              </w:rPr>
              <w:t>Corrigwell</w:t>
              <w:br/>
              <w:t>Residential</w:t>
            </w:r>
          </w:p>
        </w:tc>
        <w:tc>
          <w:tcPr>
            <w:tcW w:type="dxa" w:w="208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Unauthorized-and-examined</w:t>
            </w:r>
          </w:p>
        </w:tc>
        <w:tc>
          <w:tcPr>
            <w:tcW w:type="dxa" w:w="4032"/>
            <w:vAlign w:val="center"/>
            <w:tcMar>
              <w:top w:w="80" w:type="dxa"/>
              <w:start w:w="90" w:type="dxa"/>
              <w:bottom w:w="80" w:type="dxa"/>
              <w:end w:w="90" w:type="dxa"/>
            </w:tcMar>
          </w:tcPr>
          <w:p>
            <w:pPr>
              <w:spacing w:after="0" w:before="0" w:line="240" w:lineRule="auto"/>
            </w:pPr>
            <w:r/>
            <w:r>
              <w:rPr>
                <w:rFonts w:ascii="Noto Sans" w:hAnsi="Noto Sans"/>
                <w:b w:val="0"/>
                <w:color w:val="1D2930"/>
                <w:sz w:val="14"/>
              </w:rPr>
              <w:t>800 rows. Eberly/AQS signed June 26; 520 Session 2-3 rows post-date the signature. AQS cannot assess.</w:t>
            </w:r>
          </w:p>
        </w:tc>
        <w:tc>
          <w:tcPr>
            <w:tcW w:type="dxa" w:w="3600"/>
            <w:vAlign w:val="center"/>
            <w:tcMar>
              <w:top w:w="80" w:type="dxa"/>
              <w:start w:w="90" w:type="dxa"/>
              <w:bottom w:w="80" w:type="dxa"/>
              <w:end w:w="90" w:type="dxa"/>
            </w:tcMar>
          </w:tcPr>
          <w:p>
            <w:pPr>
              <w:spacing w:after="0" w:before="0" w:line="240" w:lineRule="auto"/>
            </w:pPr>
            <w:r/>
            <w:r>
              <w:rPr>
                <w:rFonts w:ascii="Noto Sans" w:hAnsi="Noto Sans"/>
                <w:b w:val="0"/>
                <w:color w:val="1D2930"/>
                <w:sz w:val="14"/>
              </w:rPr>
              <w:t>Bureau scope. Re-administer all 800; no mandatory camper fields A:L blank.</w:t>
            </w:r>
          </w:p>
        </w:tc>
      </w:tr>
      <w:tr>
        <w:trPr>
          <w:cantSplit/>
        </w:trPr>
        <w:tc>
          <w:tcPr>
            <w:tcW w:type="dxa" w:w="180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Loon Hollow</w:t>
              <w:br/>
              <w:t>Day</w:t>
            </w:r>
          </w:p>
        </w:tc>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Cleared for credential track</w:t>
            </w:r>
          </w:p>
        </w:tc>
        <w:tc>
          <w:tcPr>
            <w:tcW w:type="dxa" w:w="4032"/>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210 rows. Kessler/WSI signed June 26; 137 Session 2-3 rows post-date the signature.</w:t>
            </w:r>
          </w:p>
        </w:tc>
        <w:tc>
          <w:tcPr>
            <w:tcW w:type="dxa" w:w="360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Outside current finding. Credential clearance stands, but roster completion is not cured; no A:L camper blanks.</w:t>
            </w:r>
          </w:p>
        </w:tc>
      </w:tr>
      <w:tr>
        <w:trPr>
          <w:cantSplit/>
        </w:trPr>
        <w:tc>
          <w:tcPr>
            <w:tcW w:type="dxa" w:w="1800"/>
            <w:vAlign w:val="center"/>
            <w:tcMar>
              <w:top w:w="80" w:type="dxa"/>
              <w:start w:w="90" w:type="dxa"/>
              <w:bottom w:w="80" w:type="dxa"/>
              <w:end w:w="90" w:type="dxa"/>
            </w:tcMar>
          </w:tcPr>
          <w:p>
            <w:pPr>
              <w:spacing w:after="0" w:before="0" w:line="240" w:lineRule="auto"/>
            </w:pPr>
            <w:r/>
            <w:r>
              <w:rPr>
                <w:rFonts w:ascii="Noto Sans" w:hAnsi="Noto Sans"/>
                <w:b/>
                <w:color w:val="1D2930"/>
                <w:sz w:val="14"/>
              </w:rPr>
              <w:t>Tamarack Ridge</w:t>
              <w:br/>
              <w:t>Residential</w:t>
            </w:r>
          </w:p>
        </w:tc>
        <w:tc>
          <w:tcPr>
            <w:tcW w:type="dxa" w:w="208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Never-examined / deferred</w:t>
            </w:r>
          </w:p>
        </w:tc>
        <w:tc>
          <w:tcPr>
            <w:tcW w:type="dxa" w:w="4032"/>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No classification roster supplied; sign-off and swimmer data cannot be audited.</w:t>
            </w:r>
          </w:p>
        </w:tc>
        <w:tc>
          <w:tcPr>
            <w:tcW w:type="dxa" w:w="3600"/>
            <w:vAlign w:val="center"/>
            <w:tcMar>
              <w:top w:w="80" w:type="dxa"/>
              <w:start w:w="90" w:type="dxa"/>
              <w:bottom w:w="80" w:type="dxa"/>
              <w:end w:w="90" w:type="dxa"/>
            </w:tcMar>
          </w:tcPr>
          <w:p>
            <w:pPr>
              <w:spacing w:after="0" w:before="0" w:line="240" w:lineRule="auto"/>
            </w:pPr>
            <w:r/>
            <w:r>
              <w:rPr>
                <w:rFonts w:ascii="Noto Sans" w:hAnsi="Noto Sans"/>
                <w:b w:val="0"/>
                <w:color w:val="1D2930"/>
                <w:sz w:val="14"/>
              </w:rPr>
              <w:t>Segregated and ineligible for a compliance conclusion by default.</w:t>
            </w:r>
          </w:p>
        </w:tc>
      </w:tr>
      <w:tr>
        <w:trPr>
          <w:cantSplit/>
        </w:trPr>
        <w:tc>
          <w:tcPr>
            <w:tcW w:type="dxa" w:w="180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Bluegill Point</w:t>
              <w:br/>
              <w:t>Day</w:t>
            </w:r>
          </w:p>
        </w:tc>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Never-examined / deferred</w:t>
            </w:r>
          </w:p>
        </w:tc>
        <w:tc>
          <w:tcPr>
            <w:tcW w:type="dxa" w:w="4032"/>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180 rows. Mora/LG-WF signed June 26; 118 Session 2-3 rows post-date the signature.</w:t>
            </w:r>
          </w:p>
        </w:tc>
        <w:tc>
          <w:tcPr>
            <w:tcW w:type="dxa" w:w="360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Segregated; not used in Bureau scope. No mandatory camper fields blank.</w:t>
            </w:r>
          </w:p>
        </w:tc>
      </w:tr>
      <w:tr>
        <w:trPr>
          <w:cantSplit/>
        </w:trPr>
        <w:tc>
          <w:tcPr>
            <w:tcW w:type="dxa" w:w="1800"/>
            <w:vAlign w:val="center"/>
            <w:tcMar>
              <w:top w:w="80" w:type="dxa"/>
              <w:start w:w="90" w:type="dxa"/>
              <w:bottom w:w="80" w:type="dxa"/>
              <w:end w:w="90" w:type="dxa"/>
            </w:tcMar>
          </w:tcPr>
          <w:p>
            <w:pPr>
              <w:spacing w:after="0" w:before="0" w:line="240" w:lineRule="auto"/>
            </w:pPr>
            <w:r/>
            <w:r>
              <w:rPr>
                <w:rFonts w:ascii="Noto Sans" w:hAnsi="Noto Sans"/>
                <w:b/>
                <w:color w:val="1D2930"/>
                <w:sz w:val="14"/>
              </w:rPr>
              <w:t>Heron Landing</w:t>
              <w:br/>
              <w:t>Residential</w:t>
            </w:r>
          </w:p>
        </w:tc>
        <w:tc>
          <w:tcPr>
            <w:tcW w:type="dxa" w:w="208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Never-examined / deferred</w:t>
            </w:r>
          </w:p>
        </w:tc>
        <w:tc>
          <w:tcPr>
            <w:tcW w:type="dxa" w:w="4032"/>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No classification roster supplied; sign-off and swimmer data cannot be audited.</w:t>
            </w:r>
          </w:p>
        </w:tc>
        <w:tc>
          <w:tcPr>
            <w:tcW w:type="dxa" w:w="3600"/>
            <w:vAlign w:val="center"/>
            <w:tcMar>
              <w:top w:w="80" w:type="dxa"/>
              <w:start w:w="90" w:type="dxa"/>
              <w:bottom w:w="80" w:type="dxa"/>
              <w:end w:w="90" w:type="dxa"/>
            </w:tcMar>
          </w:tcPr>
          <w:p>
            <w:pPr>
              <w:spacing w:after="0" w:before="0" w:line="240" w:lineRule="auto"/>
            </w:pPr>
            <w:r/>
            <w:r>
              <w:rPr>
                <w:rFonts w:ascii="Noto Sans" w:hAnsi="Noto Sans"/>
                <w:b w:val="0"/>
                <w:color w:val="1D2930"/>
                <w:sz w:val="14"/>
              </w:rPr>
              <w:t>Segregated and ineligible for a compliance conclusion by default.</w:t>
            </w:r>
          </w:p>
        </w:tc>
      </w:tr>
      <w:tr>
        <w:trPr>
          <w:cantSplit/>
        </w:trPr>
        <w:tc>
          <w:tcPr>
            <w:tcW w:type="dxa" w:w="180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Otter Run</w:t>
              <w:br/>
              <w:t>Day</w:t>
            </w:r>
          </w:p>
        </w:tc>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Never-examined / deferred</w:t>
            </w:r>
          </w:p>
        </w:tc>
        <w:tc>
          <w:tcPr>
            <w:tcW w:type="dxa" w:w="4032"/>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150 rows. Ostrander/WSI signed June 26; 98 Session 2-3 rows post-date the signature.</w:t>
            </w:r>
          </w:p>
        </w:tc>
        <w:tc>
          <w:tcPr>
            <w:tcW w:type="dxa" w:w="360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Segregated; not used in Bureau scope. No mandatory camper fields blank.</w:t>
            </w:r>
          </w:p>
        </w:tc>
      </w:tr>
    </w:tbl>
    <w:p>
      <w:pPr>
        <w:spacing w:after="0"/>
      </w:pPr>
    </w:p>
    <w:p>
      <w:r>
        <w:rPr>
          <w:b/>
        </w:rPr>
        <w:t xml:space="preserve">Reconciliation. </w:t>
      </w:r>
      <w:r>
        <w:t>Loon Hollow's formal clearance is not reversed: WF4 asked whether the signer held an authorized credential and found WSI. The direct audit asks the separate completion question and finds that 137 later records lack a post-session signature. Bluegill Point and Otter Run show the same timing defect, but their formal status remains never-examined because the governing sweep did not pull the three-document credential chain. [S3, S7, S15]</w:t>
      </w:r>
    </w:p>
    <w:p>
      <w:r>
        <w:rPr>
          <w:b/>
        </w:rPr>
        <w:t xml:space="preserve">Loon operating evidence gap. </w:t>
      </w:r>
      <w:r>
        <w:t>No Loon Hollow water-quality log, ratio schedule, or incident log is supplied. Its operating compliance therefore cannot be tested from this corpus; those three site-season records would settle the question.</w:t>
      </w:r>
    </w:p>
    <w:p>
      <w:pPr>
        <w:pStyle w:val="Heading1"/>
      </w:pPr>
      <w:r>
        <w:t>3. Re-Assessment Population</w:t>
      </w:r>
    </w:p>
    <w:p>
      <w:pPr>
        <w:pStyle w:val="Caption"/>
        <w:spacing w:before="100" w:after="60"/>
      </w:pPr>
      <w:r>
        <w:rPr>
          <w:b/>
        </w:rPr>
        <w:t>Table 2. Defective-signature exposure and enforceable 2026 re-test denominator. Sources: Corrigwell legal classification rosters, rows 7 through the last camper row; Bureau finding and CAP. [S1, S5, S6]</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2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PERIOD</w:t>
            </w:r>
          </w:p>
        </w:tc>
        <w:tc>
          <w:tcPr>
            <w:tcW w:type="dxa" w:w="144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RECORDS</w:t>
            </w:r>
          </w:p>
        </w:tc>
        <w:tc>
          <w:tcPr>
            <w:tcW w:type="dxa" w:w="756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BASIS / TREATMENT</w:t>
            </w:r>
          </w:p>
        </w:tc>
      </w:tr>
      <w:tr>
        <w:trPr>
          <w:cantSplit/>
        </w:trPr>
        <w:tc>
          <w:tcPr>
            <w:tcW w:type="dxa" w:w="2520"/>
            <w:vAlign w:val="center"/>
            <w:tcMar>
              <w:top w:w="80" w:type="dxa"/>
              <w:start w:w="90" w:type="dxa"/>
              <w:bottom w:w="80" w:type="dxa"/>
              <w:end w:w="90" w:type="dxa"/>
            </w:tcMar>
          </w:tcPr>
          <w:p>
            <w:pPr>
              <w:spacing w:after="0" w:before="0" w:line="240" w:lineRule="auto"/>
            </w:pPr>
            <w:r/>
            <w:r>
              <w:rPr>
                <w:rFonts w:ascii="Noto Sans" w:hAnsi="Noto Sans"/>
                <w:b/>
                <w:color w:val="1D2930"/>
                <w:sz w:val="15"/>
              </w:rPr>
              <w:t>2022</w:t>
            </w:r>
          </w:p>
        </w:tc>
        <w:tc>
          <w:tcPr>
            <w:tcW w:type="dxa" w:w="144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788</w:t>
            </w:r>
          </w:p>
        </w:tc>
        <w:tc>
          <w:tcPr>
            <w:tcW w:type="dxa" w:w="756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Historical exposure; not an automatic re-test of former campers</w:t>
            </w:r>
          </w:p>
        </w:tc>
      </w:tr>
      <w:tr>
        <w:trPr>
          <w:cantSplit/>
        </w:trPr>
        <w:tc>
          <w:tcPr>
            <w:tcW w:type="dxa" w:w="252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5"/>
              </w:rPr>
              <w:t>2023</w:t>
            </w:r>
          </w:p>
        </w:tc>
        <w:tc>
          <w:tcPr>
            <w:tcW w:type="dxa" w:w="144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795</w:t>
            </w:r>
          </w:p>
        </w:tc>
        <w:tc>
          <w:tcPr>
            <w:tcW w:type="dxa" w:w="756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Historical exposure; not an automatic re-test of former campers</w:t>
            </w:r>
          </w:p>
        </w:tc>
      </w:tr>
      <w:tr>
        <w:trPr>
          <w:cantSplit/>
        </w:trPr>
        <w:tc>
          <w:tcPr>
            <w:tcW w:type="dxa" w:w="2520"/>
            <w:vAlign w:val="center"/>
            <w:tcMar>
              <w:top w:w="80" w:type="dxa"/>
              <w:start w:w="90" w:type="dxa"/>
              <w:bottom w:w="80" w:type="dxa"/>
              <w:end w:w="90" w:type="dxa"/>
            </w:tcMar>
          </w:tcPr>
          <w:p>
            <w:pPr>
              <w:spacing w:after="0" w:before="0" w:line="240" w:lineRule="auto"/>
            </w:pPr>
            <w:r/>
            <w:r>
              <w:rPr>
                <w:rFonts w:ascii="Noto Sans" w:hAnsi="Noto Sans"/>
                <w:b/>
                <w:color w:val="1D2930"/>
                <w:sz w:val="15"/>
              </w:rPr>
              <w:t>2024</w:t>
            </w:r>
          </w:p>
        </w:tc>
        <w:tc>
          <w:tcPr>
            <w:tcW w:type="dxa" w:w="144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805</w:t>
            </w:r>
          </w:p>
        </w:tc>
        <w:tc>
          <w:tcPr>
            <w:tcW w:type="dxa" w:w="756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Historical exposure; not an automatic re-test of former campers</w:t>
            </w:r>
          </w:p>
        </w:tc>
      </w:tr>
      <w:tr>
        <w:trPr>
          <w:cantSplit/>
        </w:trPr>
        <w:tc>
          <w:tcPr>
            <w:tcW w:type="dxa" w:w="252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5"/>
              </w:rPr>
              <w:t>2025</w:t>
            </w:r>
          </w:p>
        </w:tc>
        <w:tc>
          <w:tcPr>
            <w:tcW w:type="dxa" w:w="144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812</w:t>
            </w:r>
          </w:p>
        </w:tc>
        <w:tc>
          <w:tcPr>
            <w:tcW w:type="dxa" w:w="756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Historical exposure; not an automatic re-test of former campers</w:t>
            </w:r>
          </w:p>
        </w:tc>
      </w:tr>
      <w:tr>
        <w:trPr>
          <w:cantSplit/>
        </w:trPr>
        <w:tc>
          <w:tcPr>
            <w:tcW w:type="dxa" w:w="2520"/>
            <w:vAlign w:val="center"/>
            <w:tcMar>
              <w:top w:w="80" w:type="dxa"/>
              <w:start w:w="90" w:type="dxa"/>
              <w:bottom w:w="80" w:type="dxa"/>
              <w:end w:w="90" w:type="dxa"/>
            </w:tcMar>
            <w:shd w:fill="EAF3F2"/>
          </w:tcPr>
          <w:p>
            <w:pPr>
              <w:spacing w:after="0" w:before="0" w:line="240" w:lineRule="auto"/>
            </w:pPr>
            <w:r/>
            <w:r>
              <w:rPr>
                <w:rFonts w:ascii="Noto Sans" w:hAnsi="Noto Sans"/>
                <w:b/>
                <w:color w:val="1D2930"/>
                <w:sz w:val="15"/>
              </w:rPr>
              <w:t>2022-2025 subtotal</w:t>
            </w:r>
          </w:p>
        </w:tc>
        <w:tc>
          <w:tcPr>
            <w:tcW w:type="dxa" w:w="1440"/>
            <w:vAlign w:val="center"/>
            <w:tcMar>
              <w:top w:w="80" w:type="dxa"/>
              <w:start w:w="90" w:type="dxa"/>
              <w:bottom w:w="80" w:type="dxa"/>
              <w:end w:w="90" w:type="dxa"/>
            </w:tcMar>
            <w:shd w:fill="EAF3F2"/>
          </w:tcPr>
          <w:p>
            <w:pPr>
              <w:spacing w:after="0" w:before="0" w:line="240" w:lineRule="auto"/>
            </w:pPr>
            <w:r/>
            <w:r>
              <w:rPr>
                <w:rFonts w:ascii="Noto Sans" w:hAnsi="Noto Sans"/>
                <w:b w:val="0"/>
                <w:color w:val="1D2930"/>
                <w:sz w:val="15"/>
              </w:rPr>
              <w:t>3,200</w:t>
            </w:r>
          </w:p>
        </w:tc>
        <w:tc>
          <w:tcPr>
            <w:tcW w:type="dxa" w:w="7560"/>
            <w:vAlign w:val="center"/>
            <w:tcMar>
              <w:top w:w="80" w:type="dxa"/>
              <w:start w:w="90" w:type="dxa"/>
              <w:bottom w:w="80" w:type="dxa"/>
              <w:end w:w="90" w:type="dxa"/>
            </w:tcMar>
            <w:shd w:fill="EAF3F2"/>
          </w:tcPr>
          <w:p>
            <w:pPr>
              <w:spacing w:after="0" w:before="0" w:line="240" w:lineRule="auto"/>
            </w:pPr>
            <w:r/>
            <w:r>
              <w:rPr>
                <w:rFonts w:ascii="Noto Sans" w:hAnsi="Noto Sans"/>
                <w:b w:val="0"/>
                <w:color w:val="1D2930"/>
                <w:sz w:val="15"/>
              </w:rPr>
              <w:t>788 + 795 + 805 + 812</w:t>
            </w:r>
          </w:p>
        </w:tc>
      </w:tr>
      <w:tr>
        <w:trPr>
          <w:cantSplit/>
        </w:trPr>
        <w:tc>
          <w:tcPr>
            <w:tcW w:type="dxa" w:w="252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5"/>
              </w:rPr>
              <w:t>2026 Session 1</w:t>
            </w:r>
          </w:p>
        </w:tc>
        <w:tc>
          <w:tcPr>
            <w:tcW w:type="dxa" w:w="144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280</w:t>
            </w:r>
          </w:p>
        </w:tc>
        <w:tc>
          <w:tcPr>
            <w:tcW w:type="dxa" w:w="756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Rows 7:286; unauthorized June 26 certification</w:t>
            </w:r>
          </w:p>
        </w:tc>
      </w:tr>
      <w:tr>
        <w:trPr>
          <w:cantSplit/>
        </w:trPr>
        <w:tc>
          <w:tcPr>
            <w:tcW w:type="dxa" w:w="2520"/>
            <w:vAlign w:val="center"/>
            <w:tcMar>
              <w:top w:w="80" w:type="dxa"/>
              <w:start w:w="90" w:type="dxa"/>
              <w:bottom w:w="80" w:type="dxa"/>
              <w:end w:w="90" w:type="dxa"/>
            </w:tcMar>
          </w:tcPr>
          <w:p>
            <w:pPr>
              <w:spacing w:after="0" w:before="0" w:line="240" w:lineRule="auto"/>
            </w:pPr>
            <w:r/>
            <w:r>
              <w:rPr>
                <w:rFonts w:ascii="Noto Sans" w:hAnsi="Noto Sans"/>
                <w:b/>
                <w:color w:val="1D2930"/>
                <w:sz w:val="15"/>
              </w:rPr>
              <w:t>2026 Session 2</w:t>
            </w:r>
          </w:p>
        </w:tc>
        <w:tc>
          <w:tcPr>
            <w:tcW w:type="dxa" w:w="144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288</w:t>
            </w:r>
          </w:p>
        </w:tc>
        <w:tc>
          <w:tcPr>
            <w:tcW w:type="dxa" w:w="756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Rows 287:574; appended after June 26</w:t>
            </w:r>
          </w:p>
        </w:tc>
      </w:tr>
      <w:tr>
        <w:trPr>
          <w:cantSplit/>
        </w:trPr>
        <w:tc>
          <w:tcPr>
            <w:tcW w:type="dxa" w:w="252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5"/>
              </w:rPr>
              <w:t>2026 Session 3</w:t>
            </w:r>
          </w:p>
        </w:tc>
        <w:tc>
          <w:tcPr>
            <w:tcW w:type="dxa" w:w="144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232</w:t>
            </w:r>
          </w:p>
        </w:tc>
        <w:tc>
          <w:tcPr>
            <w:tcW w:type="dxa" w:w="756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Rows 575:806; appended after June 26</w:t>
            </w:r>
          </w:p>
        </w:tc>
      </w:tr>
      <w:tr>
        <w:trPr>
          <w:cantSplit/>
        </w:trPr>
        <w:tc>
          <w:tcPr>
            <w:tcW w:type="dxa" w:w="2520"/>
            <w:vAlign w:val="center"/>
            <w:tcMar>
              <w:top w:w="80" w:type="dxa"/>
              <w:start w:w="90" w:type="dxa"/>
              <w:bottom w:w="80" w:type="dxa"/>
              <w:end w:w="90" w:type="dxa"/>
            </w:tcMar>
          </w:tcPr>
          <w:p>
            <w:pPr>
              <w:spacing w:after="0" w:before="0" w:line="240" w:lineRule="auto"/>
            </w:pPr>
            <w:r/>
            <w:r>
              <w:rPr>
                <w:rFonts w:ascii="Noto Sans" w:hAnsi="Noto Sans"/>
                <w:b/>
                <w:color w:val="1D2930"/>
                <w:sz w:val="15"/>
              </w:rPr>
              <w:t>2026 re-test scope</w:t>
            </w:r>
          </w:p>
        </w:tc>
        <w:tc>
          <w:tcPr>
            <w:tcW w:type="dxa" w:w="144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800</w:t>
            </w:r>
          </w:p>
        </w:tc>
        <w:tc>
          <w:tcPr>
            <w:tcW w:type="dxa" w:w="756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280 + 288 + 232; all three band levels</w:t>
            </w:r>
          </w:p>
        </w:tc>
      </w:tr>
      <w:tr>
        <w:trPr>
          <w:cantSplit/>
        </w:trPr>
        <w:tc>
          <w:tcPr>
            <w:tcW w:type="dxa" w:w="2520"/>
            <w:shd w:fill="EAF3F2"/>
            <w:vAlign w:val="center"/>
            <w:tcMar>
              <w:top w:w="80" w:type="dxa"/>
              <w:start w:w="90" w:type="dxa"/>
              <w:bottom w:w="80" w:type="dxa"/>
              <w:end w:w="90" w:type="dxa"/>
            </w:tcMar>
          </w:tcPr>
          <w:p>
            <w:pPr>
              <w:spacing w:after="0" w:before="0" w:line="240" w:lineRule="auto"/>
            </w:pPr>
            <w:r/>
            <w:r>
              <w:rPr>
                <w:rFonts w:ascii="Noto Sans" w:hAnsi="Noto Sans"/>
                <w:b/>
                <w:color w:val="1D2930"/>
                <w:sz w:val="15"/>
              </w:rPr>
              <w:t>Total defective records</w:t>
            </w:r>
          </w:p>
        </w:tc>
        <w:tc>
          <w:tcPr>
            <w:tcW w:type="dxa" w:w="1440"/>
            <w:shd w:fill="EAF3F2"/>
            <w:vAlign w:val="center"/>
            <w:tcMar>
              <w:top w:w="80" w:type="dxa"/>
              <w:start w:w="90" w:type="dxa"/>
              <w:bottom w:w="80" w:type="dxa"/>
              <w:end w:w="90" w:type="dxa"/>
            </w:tcMar>
          </w:tcPr>
          <w:p>
            <w:pPr>
              <w:spacing w:after="0" w:before="0" w:line="240" w:lineRule="auto"/>
            </w:pPr>
            <w:r/>
            <w:r>
              <w:rPr>
                <w:rFonts w:ascii="Noto Sans" w:hAnsi="Noto Sans"/>
                <w:b w:val="0"/>
                <w:color w:val="1D2930"/>
                <w:sz w:val="15"/>
              </w:rPr>
              <w:t>4,000</w:t>
            </w:r>
          </w:p>
        </w:tc>
        <w:tc>
          <w:tcPr>
            <w:tcW w:type="dxa" w:w="7560"/>
            <w:shd w:fill="EAF3F2"/>
            <w:vAlign w:val="center"/>
            <w:tcMar>
              <w:top w:w="80" w:type="dxa"/>
              <w:start w:w="90" w:type="dxa"/>
              <w:bottom w:w="80" w:type="dxa"/>
              <w:end w:w="90" w:type="dxa"/>
            </w:tcMar>
          </w:tcPr>
          <w:p>
            <w:pPr>
              <w:spacing w:after="0" w:before="0" w:line="240" w:lineRule="auto"/>
            </w:pPr>
            <w:r/>
            <w:r>
              <w:rPr>
                <w:rFonts w:ascii="Noto Sans" w:hAnsi="Noto Sans"/>
                <w:b w:val="0"/>
                <w:color w:val="1D2930"/>
                <w:sz w:val="15"/>
              </w:rPr>
              <w:t>3,200 historical + 800 current-season</w:t>
            </w:r>
          </w:p>
        </w:tc>
      </w:tr>
    </w:tbl>
    <w:p>
      <w:pPr>
        <w:spacing w:after="0"/>
      </w:pPr>
    </w:p>
    <w:p>
      <w:pPr>
        <w:pStyle w:val="Heading2"/>
      </w:pPr>
      <w:r>
        <w:t>Band and carry-forward basis</w:t>
      </w:r>
    </w:p>
    <w:p>
      <w:r>
        <w:rPr>
          <w:b/>
        </w:rPr>
        <w:t xml:space="preserve">Band arithmetic. </w:t>
      </w:r>
      <w:r>
        <w:t>The 2026 roster classifies 173 Nonswimmers + 255 Beginners + 372 Swimmers = 800. The re-test denominator is 800 because the defect invalidates certification of the classification record, not only green-band results. The roster is the governing test record; projections of 798, enrollment totals of 785, and buddy-board counts of 814 do not govern this calculation. [S4-S6]</w:t>
      </w:r>
    </w:p>
    <w:p>
      <w:r>
        <w:rPr>
          <w:b/>
        </w:rPr>
        <w:t xml:space="preserve">2027 wristbands. </w:t>
      </w:r>
      <w:r>
        <w:t>The answer is zero: the test guide states that a prior-season band does not carry and every camper is tested each season. In the 2026 roster, 488 rows record a prior band and 151 finish with the same band, but all 488 also contain a fresh 2026 test date; none proves prior-year carryover. Physical wristband reuse is not separately inventoried. If 'carry forward' means campers returning in 2027 rather than classifications, the evidence does not support a number because no 2027 enrollment roster is supplied. [S4, S5]</w:t>
      </w:r>
    </w:p>
    <w:p>
      <w:pPr>
        <w:pStyle w:val="Heading1"/>
      </w:pPr>
      <w:r>
        <w:t>4. Authorized Staff Availability</w:t>
      </w:r>
    </w:p>
    <w:p>
      <w:pPr>
        <w:pStyle w:val="Caption"/>
        <w:spacing w:before="100" w:after="60"/>
      </w:pPr>
      <w:r>
        <w:rPr>
          <w:b/>
        </w:rPr>
        <w:t>Table 3. Staff count for July 1 through August 20, 2026. Sources: controlling authorization matrix and Corrigwell certification file as of season close. [S2, S8]</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44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TRACK / MEASURE</w:t>
            </w:r>
          </w:p>
        </w:tc>
        <w:tc>
          <w:tcPr>
            <w:tcW w:type="dxa" w:w="180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COUNT</w:t>
            </w:r>
          </w:p>
        </w:tc>
        <w:tc>
          <w:tcPr>
            <w:tcW w:type="dxa" w:w="2304"/>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MATRIX RESULT</w:t>
            </w:r>
          </w:p>
        </w:tc>
        <w:tc>
          <w:tcPr>
            <w:tcW w:type="dxa" w:w="496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COUNTING BASIS</w:t>
            </w:r>
          </w:p>
        </w:tc>
      </w:tr>
      <w:tr>
        <w:trPr>
          <w:cantSplit/>
        </w:trPr>
        <w:tc>
          <w:tcPr>
            <w:tcW w:type="dxa" w:w="2448"/>
            <w:vAlign w:val="center"/>
            <w:tcMar>
              <w:top w:w="80" w:type="dxa"/>
              <w:start w:w="90" w:type="dxa"/>
              <w:bottom w:w="80" w:type="dxa"/>
              <w:end w:w="90" w:type="dxa"/>
            </w:tcMar>
          </w:tcPr>
          <w:p>
            <w:pPr>
              <w:spacing w:after="0" w:before="0" w:line="240" w:lineRule="auto"/>
            </w:pPr>
            <w:r/>
            <w:r>
              <w:rPr>
                <w:rFonts w:ascii="Noto Sans" w:hAnsi="Noto Sans"/>
                <w:b/>
                <w:color w:val="1D2930"/>
                <w:sz w:val="15"/>
              </w:rPr>
              <w:t>LG-WF</w:t>
            </w:r>
          </w:p>
        </w:tc>
        <w:tc>
          <w:tcPr>
            <w:tcW w:type="dxa" w:w="180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30 credential records</w:t>
            </w:r>
          </w:p>
        </w:tc>
        <w:tc>
          <w:tcPr>
            <w:tcW w:type="dxa" w:w="2304"/>
            <w:vAlign w:val="center"/>
            <w:tcMar>
              <w:top w:w="80" w:type="dxa"/>
              <w:start w:w="90" w:type="dxa"/>
              <w:bottom w:w="80" w:type="dxa"/>
              <w:end w:w="90" w:type="dxa"/>
            </w:tcMar>
          </w:tcPr>
          <w:p>
            <w:pPr>
              <w:spacing w:after="0" w:before="0" w:line="240" w:lineRule="auto"/>
            </w:pPr>
            <w:r/>
            <w:r>
              <w:rPr>
                <w:rFonts w:ascii="Noto Sans" w:hAnsi="Noto Sans"/>
                <w:b w:val="0"/>
                <w:color w:val="1D2930"/>
                <w:sz w:val="15"/>
              </w:rPr>
              <w:t>Yes, with Form ASC-2</w:t>
            </w:r>
          </w:p>
        </w:tc>
        <w:tc>
          <w:tcPr>
            <w:tcW w:type="dxa" w:w="496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Credential records; may duplicate people</w:t>
            </w:r>
          </w:p>
        </w:tc>
      </w:tr>
      <w:tr>
        <w:trPr>
          <w:cantSplit/>
        </w:trPr>
        <w:tc>
          <w:tcPr>
            <w:tcW w:type="dxa" w:w="244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5"/>
              </w:rPr>
              <w:t>WSI</w:t>
            </w:r>
          </w:p>
        </w:tc>
        <w:tc>
          <w:tcPr>
            <w:tcW w:type="dxa" w:w="180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14 credential records</w:t>
            </w:r>
          </w:p>
        </w:tc>
        <w:tc>
          <w:tcPr>
            <w:tcW w:type="dxa" w:w="230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Yes, with Form ASC-2</w:t>
            </w:r>
          </w:p>
        </w:tc>
        <w:tc>
          <w:tcPr>
            <w:tcW w:type="dxa" w:w="496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Credential records; may duplicate people</w:t>
            </w:r>
          </w:p>
        </w:tc>
      </w:tr>
      <w:tr>
        <w:trPr>
          <w:cantSplit/>
        </w:trPr>
        <w:tc>
          <w:tcPr>
            <w:tcW w:type="dxa" w:w="2448"/>
            <w:vAlign w:val="center"/>
            <w:tcMar>
              <w:top w:w="80" w:type="dxa"/>
              <w:start w:w="90" w:type="dxa"/>
              <w:bottom w:w="80" w:type="dxa"/>
              <w:end w:w="90" w:type="dxa"/>
            </w:tcMar>
          </w:tcPr>
          <w:p>
            <w:pPr>
              <w:spacing w:after="0" w:before="0" w:line="240" w:lineRule="auto"/>
            </w:pPr>
            <w:r/>
            <w:r>
              <w:rPr>
                <w:rFonts w:ascii="Noto Sans" w:hAnsi="Noto Sans"/>
                <w:b/>
                <w:color w:val="1D2930"/>
                <w:sz w:val="15"/>
              </w:rPr>
              <w:t>LGI</w:t>
            </w:r>
          </w:p>
        </w:tc>
        <w:tc>
          <w:tcPr>
            <w:tcW w:type="dxa" w:w="180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 credential records</w:t>
            </w:r>
          </w:p>
        </w:tc>
        <w:tc>
          <w:tcPr>
            <w:tcW w:type="dxa" w:w="2304"/>
            <w:vAlign w:val="center"/>
            <w:tcMar>
              <w:top w:w="80" w:type="dxa"/>
              <w:start w:w="90" w:type="dxa"/>
              <w:bottom w:w="80" w:type="dxa"/>
              <w:end w:w="90" w:type="dxa"/>
            </w:tcMar>
          </w:tcPr>
          <w:p>
            <w:pPr>
              <w:spacing w:after="0" w:before="0" w:line="240" w:lineRule="auto"/>
            </w:pPr>
            <w:r/>
            <w:r>
              <w:rPr>
                <w:rFonts w:ascii="Noto Sans" w:hAnsi="Noto Sans"/>
                <w:b w:val="0"/>
                <w:color w:val="1D2930"/>
                <w:sz w:val="15"/>
              </w:rPr>
              <w:t>Yes, with Form ASC-2</w:t>
            </w:r>
          </w:p>
        </w:tc>
        <w:tc>
          <w:tcPr>
            <w:tcW w:type="dxa" w:w="496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Credential records; may duplicate people</w:t>
            </w:r>
          </w:p>
        </w:tc>
      </w:tr>
      <w:tr>
        <w:trPr>
          <w:cantSplit/>
        </w:trPr>
        <w:tc>
          <w:tcPr>
            <w:tcW w:type="dxa" w:w="244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5"/>
              </w:rPr>
              <w:t>Qualifying records</w:t>
            </w:r>
          </w:p>
        </w:tc>
        <w:tc>
          <w:tcPr>
            <w:tcW w:type="dxa" w:w="1800"/>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46</w:t>
            </w:r>
          </w:p>
        </w:tc>
        <w:tc>
          <w:tcPr>
            <w:tcW w:type="dxa" w:w="230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w:t>
            </w:r>
          </w:p>
        </w:tc>
        <w:tc>
          <w:tcPr>
            <w:tcW w:type="dxa" w:w="496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30 + 14 + 2</w:t>
            </w:r>
          </w:p>
        </w:tc>
      </w:tr>
      <w:tr>
        <w:trPr>
          <w:cantSplit/>
        </w:trPr>
        <w:tc>
          <w:tcPr>
            <w:tcW w:type="dxa" w:w="2448"/>
            <w:vAlign w:val="center"/>
            <w:tcMar>
              <w:top w:w="80" w:type="dxa"/>
              <w:start w:w="90" w:type="dxa"/>
              <w:bottom w:w="80" w:type="dxa"/>
              <w:end w:w="90" w:type="dxa"/>
            </w:tcMar>
          </w:tcPr>
          <w:p>
            <w:pPr>
              <w:spacing w:after="0" w:before="0" w:line="240" w:lineRule="auto"/>
            </w:pPr>
            <w:r/>
            <w:r>
              <w:rPr>
                <w:rFonts w:ascii="Noto Sans" w:hAnsi="Noto Sans"/>
                <w:b/>
                <w:color w:val="1D2930"/>
                <w:sz w:val="15"/>
              </w:rPr>
              <w:t>Unique date-current people</w:t>
            </w:r>
          </w:p>
        </w:tc>
        <w:tc>
          <w:tcPr>
            <w:tcW w:type="dxa" w:w="180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33</w:t>
            </w:r>
          </w:p>
        </w:tc>
        <w:tc>
          <w:tcPr>
            <w:tcW w:type="dxa" w:w="2304"/>
            <w:vAlign w:val="center"/>
            <w:tcMar>
              <w:top w:w="80" w:type="dxa"/>
              <w:start w:w="90" w:type="dxa"/>
              <w:bottom w:w="80" w:type="dxa"/>
              <w:end w:w="90" w:type="dxa"/>
            </w:tcMar>
          </w:tcPr>
          <w:p>
            <w:pPr>
              <w:spacing w:after="0" w:before="0" w:line="240" w:lineRule="auto"/>
            </w:pPr>
            <w:r/>
            <w:r>
              <w:rPr>
                <w:rFonts w:ascii="Noto Sans" w:hAnsi="Noto Sans"/>
                <w:b w:val="0"/>
                <w:color w:val="1D2930"/>
                <w:sz w:val="15"/>
              </w:rPr>
              <w:t>Potential pool</w:t>
            </w:r>
          </w:p>
        </w:tc>
        <w:tc>
          <w:tcPr>
            <w:tcW w:type="dxa" w:w="496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Deduplicated by name; current through August 20</w:t>
            </w:r>
          </w:p>
        </w:tc>
      </w:tr>
      <w:tr>
        <w:trPr>
          <w:cantSplit/>
        </w:trPr>
        <w:tc>
          <w:tcPr>
            <w:tcW w:type="dxa" w:w="2448"/>
            <w:shd w:fill="F7E4E2"/>
            <w:vAlign w:val="center"/>
            <w:tcMar>
              <w:top w:w="80" w:type="dxa"/>
              <w:start w:w="90" w:type="dxa"/>
              <w:bottom w:w="80" w:type="dxa"/>
              <w:end w:w="90" w:type="dxa"/>
            </w:tcMar>
          </w:tcPr>
          <w:p>
            <w:pPr>
              <w:spacing w:after="0" w:before="0" w:line="240" w:lineRule="auto"/>
            </w:pPr>
            <w:r/>
            <w:r>
              <w:rPr>
                <w:rFonts w:ascii="Noto Sans" w:hAnsi="Noto Sans"/>
                <w:b/>
                <w:color w:val="1D2930"/>
                <w:sz w:val="15"/>
              </w:rPr>
              <w:t>Auditable as deployable</w:t>
            </w:r>
          </w:p>
        </w:tc>
        <w:tc>
          <w:tcPr>
            <w:tcW w:type="dxa" w:w="1800"/>
            <w:shd w:fill="F7E4E2"/>
            <w:vAlign w:val="center"/>
            <w:tcMar>
              <w:top w:w="80" w:type="dxa"/>
              <w:start w:w="90" w:type="dxa"/>
              <w:bottom w:w="80" w:type="dxa"/>
              <w:end w:w="90" w:type="dxa"/>
            </w:tcMar>
          </w:tcPr>
          <w:p>
            <w:pPr>
              <w:spacing w:after="0" w:before="0" w:line="240" w:lineRule="auto"/>
            </w:pPr>
            <w:r/>
            <w:r>
              <w:rPr>
                <w:rFonts w:ascii="Noto Sans" w:hAnsi="Noto Sans"/>
                <w:b w:val="0"/>
                <w:color w:val="1D2930"/>
                <w:sz w:val="15"/>
              </w:rPr>
              <w:t>0</w:t>
            </w:r>
          </w:p>
        </w:tc>
        <w:tc>
          <w:tcPr>
            <w:tcW w:type="dxa" w:w="2304"/>
            <w:shd w:fill="F7E4E2"/>
            <w:vAlign w:val="center"/>
            <w:tcMar>
              <w:top w:w="80" w:type="dxa"/>
              <w:start w:w="90" w:type="dxa"/>
              <w:bottom w:w="80" w:type="dxa"/>
              <w:end w:w="90" w:type="dxa"/>
            </w:tcMar>
          </w:tcPr>
          <w:p>
            <w:pPr>
              <w:spacing w:after="0" w:before="0" w:line="240" w:lineRule="auto"/>
            </w:pPr>
            <w:r/>
            <w:r>
              <w:rPr>
                <w:rFonts w:ascii="Noto Sans" w:hAnsi="Noto Sans"/>
                <w:b w:val="0"/>
                <w:color w:val="1D2930"/>
                <w:sz w:val="15"/>
              </w:rPr>
              <w:t>Available pool</w:t>
            </w:r>
          </w:p>
        </w:tc>
        <w:tc>
          <w:tcPr>
            <w:tcW w:type="dxa" w:w="4968"/>
            <w:shd w:fill="F7E4E2"/>
            <w:vAlign w:val="center"/>
            <w:tcMar>
              <w:top w:w="80" w:type="dxa"/>
              <w:start w:w="90" w:type="dxa"/>
              <w:bottom w:w="80" w:type="dxa"/>
              <w:end w:w="90" w:type="dxa"/>
            </w:tcMar>
          </w:tcPr>
          <w:p>
            <w:pPr>
              <w:spacing w:after="0" w:before="0" w:line="240" w:lineRule="auto"/>
            </w:pPr>
            <w:r/>
            <w:r>
              <w:rPr>
                <w:rFonts w:ascii="Noto Sans" w:hAnsi="Noto Sans"/>
                <w:b w:val="0"/>
                <w:color w:val="1D2930"/>
                <w:sz w:val="15"/>
              </w:rPr>
              <w:t>No ASC-2 plus assignment and conflict-free availability chain</w:t>
            </w:r>
          </w:p>
        </w:tc>
      </w:tr>
      <w:tr>
        <w:trPr>
          <w:cantSplit/>
        </w:trPr>
        <w:tc>
          <w:tcPr>
            <w:tcW w:type="dxa" w:w="2448"/>
            <w:vAlign w:val="center"/>
            <w:tcMar>
              <w:top w:w="80" w:type="dxa"/>
              <w:start w:w="90" w:type="dxa"/>
              <w:bottom w:w="80" w:type="dxa"/>
              <w:end w:w="90" w:type="dxa"/>
            </w:tcMar>
          </w:tcPr>
          <w:p>
            <w:pPr>
              <w:spacing w:after="0" w:before="0" w:line="240" w:lineRule="auto"/>
            </w:pPr>
            <w:r/>
            <w:r>
              <w:rPr>
                <w:rFonts w:ascii="Noto Sans" w:hAnsi="Noto Sans"/>
                <w:b/>
                <w:color w:val="1D2930"/>
                <w:sz w:val="15"/>
              </w:rPr>
              <w:t>Course completers outside file</w:t>
            </w:r>
          </w:p>
        </w:tc>
        <w:tc>
          <w:tcPr>
            <w:tcW w:type="dxa" w:w="1800"/>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26</w:t>
            </w:r>
          </w:p>
        </w:tc>
        <w:tc>
          <w:tcPr>
            <w:tcW w:type="dxa" w:w="2304"/>
            <w:vAlign w:val="center"/>
            <w:tcMar>
              <w:top w:w="80" w:type="dxa"/>
              <w:start w:w="90" w:type="dxa"/>
              <w:bottom w:w="80" w:type="dxa"/>
              <w:end w:w="90" w:type="dxa"/>
            </w:tcMar>
          </w:tcPr>
          <w:p>
            <w:pPr>
              <w:spacing w:after="0" w:before="0" w:line="240" w:lineRule="auto"/>
            </w:pPr>
            <w:r/>
            <w:r>
              <w:rPr>
                <w:rFonts w:ascii="Noto Sans" w:hAnsi="Noto Sans"/>
                <w:b w:val="0"/>
                <w:color w:val="1D2930"/>
                <w:sz w:val="15"/>
              </w:rPr>
              <w:t>Not counted</w:t>
            </w:r>
          </w:p>
        </w:tc>
        <w:tc>
          <w:tcPr>
            <w:tcW w:type="dxa" w:w="4968"/>
            <w:vAlign w:val="center"/>
            <w:tcMar>
              <w:top w:w="80" w:type="dxa"/>
              <w:start w:w="90" w:type="dxa"/>
              <w:bottom w:w="80" w:type="dxa"/>
              <w:end w:w="90" w:type="dxa"/>
            </w:tcMar>
          </w:tcPr>
          <w:p>
            <w:pPr>
              <w:spacing w:after="0" w:before="0" w:line="240" w:lineRule="auto"/>
            </w:pPr>
            <w:r/>
            <w:r>
              <w:rPr>
                <w:rFonts w:ascii="Noto Sans" w:hAnsi="Noto Sans"/>
                <w:b w:val="0"/>
                <w:color w:val="1D2930"/>
                <w:sz w:val="15"/>
              </w:rPr>
              <w:t>25 WSI + 1 LGI; no staff ID, assignment, availability, or ASC-2</w:t>
            </w:r>
          </w:p>
        </w:tc>
      </w:tr>
    </w:tbl>
    <w:p>
      <w:pPr>
        <w:spacing w:after="0"/>
      </w:pPr>
    </w:p>
    <w:p>
      <w:r>
        <w:rPr>
          <w:b/>
        </w:rPr>
        <w:t xml:space="preserve">Availability determination. </w:t>
      </w:r>
      <w:r>
        <w:t>The requested staff number is zero on an audit-ready basis, with a potential credential pool of 33. The matrix requires Form ASC-2 for WSI, LGI, and LG-WF, but the certification file has no ASC-2 field and no standalone forms were supplied. The assignment, contact, course-completion, and certification populations do not crosswalk reliably. Carmen P. Yee holds all three qualifying credentials and appears on the roster, but her ASC-2 is also absent. [S2, S4, S8, S14]</w:t>
      </w:r>
    </w:p>
    <w:p>
      <w:r>
        <w:rPr>
          <w:b/>
        </w:rPr>
        <w:t xml:space="preserve">Observed capacity benchmark only. </w:t>
      </w:r>
      <w:r>
        <w:t>The legal roster records 800 initial classifications on 15 dates and 90 assessor-days: 800 / 15 = 53.33 assessments per date and 800 / 90 = 8.89 per assessor-day. At that aggregate pace, 800 / 53.33 = 15 comparable assessment dates. This is not a defensible commitment because the roster uses six abbreviated assessor names, five cannot be matched to a credential record, and the files supply no test duration or release schedule. [S5, S8]</w:t>
      </w:r>
    </w:p>
    <w:p>
      <w:pPr>
        <w:pStyle w:val="Heading1"/>
      </w:pPr>
      <w:r>
        <w:t>5. Swimmer Information and Record Integrity</w:t>
      </w:r>
    </w:p>
    <w:p>
      <w:pPr>
        <w:pStyle w:val="ListBullet"/>
        <w:spacing w:after="60"/>
        <w:ind w:left="259" w:hanging="202"/>
      </w:pPr>
      <w:r>
        <w:t>Corrigwell did not omit mandatory camper information from the legal roster: all 800 rows have values in fields A:L. The same is true of the 210 Loon Hollow, 180 Bluegill Point, and 150 Otter Run rows. [S5, S15]</w:t>
      </w:r>
    </w:p>
    <w:p>
      <w:pPr>
        <w:pStyle w:val="ListBullet"/>
        <w:spacing w:after="60"/>
        <w:ind w:left="259" w:hanging="202"/>
      </w:pPr>
      <w:r>
        <w:t>Corrigwell nevertheless has material staff and completion defects: every assessor is recorded by initial and surname rather than full name, and 520 rows post-date the only signature. The completion instructions require full assessor names and an authorized signature after the last classification day of each session. [S3, S5]</w:t>
      </w:r>
    </w:p>
    <w:p>
      <w:pPr>
        <w:pStyle w:val="ListBullet"/>
        <w:spacing w:after="60"/>
        <w:ind w:left="259" w:hanging="202"/>
      </w:pPr>
      <w:r>
        <w:t>The 2026 swim-test summary cannot prove re-assessment: all 144 camper ID/name pairs conflict with the legal roster. The beginner retest log has the same problem for all 62 rows and reuses three camper IDs for two names each. The legal roster governs because the test guide identifies it as the record of the test. [S4, S13]</w:t>
      </w:r>
    </w:p>
    <w:p>
      <w:pPr>
        <w:pStyle w:val="ListBullet"/>
        <w:spacing w:after="60"/>
        <w:ind w:left="259" w:hanging="202"/>
      </w:pPr>
      <w:r>
        <w:t>Tamarack Ridge and Heron Landing failed the archive-completeness test because no 2026 classification roster is supplied. Their swimmer counts, bands, signer, and missing-field rate therefore cannot be calculated. Those sites remain segregated as never-examined rather than treated as compliant or noncompliant. [S7, S15]</w:t>
      </w:r>
    </w:p>
    <w:p>
      <w:pPr>
        <w:pStyle w:val="Heading1"/>
      </w:pPr>
      <w:r>
        <w:t>6. Operating Audit and Bureau Disclosure</w:t>
      </w:r>
    </w:p>
    <w:p>
      <w:r>
        <w:rPr>
          <w:b/>
        </w:rPr>
        <w:t xml:space="preserve">Corrigwell operating findings. </w:t>
      </w:r>
      <w:r>
        <w:t>These findings are separate from credential authority but are responsive to the requested audit. The stabilized-water range applies because every reviewed entry reports cyanuric acid between 30 and 50 ppm; free chlorine therefore must be 2.0-4.0 ppm. The buddy board is the authoritative in-water denominator. [S9, S10]</w:t>
      </w:r>
    </w:p>
    <w:p>
      <w:r>
        <w:rPr>
          <w:b/>
        </w:rPr>
        <w:t xml:space="preserve">Period limit. </w:t>
      </w:r>
      <w:r>
        <w:t>The supplied Corrigwell operating archive contains water, ratio, and incident records for 2025 and 2026, not 2022-2024. The earlier three seasons therefore cannot be described as audited clean from these files; the corresponding site-season logs would be required to settle that period.</w:t>
      </w:r>
    </w:p>
    <w:p>
      <w:pPr>
        <w:pStyle w:val="Caption"/>
        <w:spacing w:before="100" w:after="60"/>
      </w:pPr>
      <w:r>
        <w:rPr>
          <w:b/>
        </w:rPr>
        <w:t>Table 4. Corrigwell operating exceptions. Sources: 2025-2026 season logs and KVL operating standards in force through 2026. [S9-S12]</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RECORD</w:t>
            </w:r>
          </w:p>
        </w:tc>
        <w:tc>
          <w:tcPr>
            <w:tcW w:type="dxa" w:w="6624"/>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AUDIT ARITHMETIC</w:t>
            </w:r>
          </w:p>
        </w:tc>
        <w:tc>
          <w:tcPr>
            <w:tcW w:type="dxa" w:w="280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DISCLOSURE CLASSIFICATION</w:t>
            </w:r>
          </w:p>
        </w:tc>
      </w:tr>
      <w:tr>
        <w:trPr>
          <w:cantSplit/>
        </w:trPr>
        <w:tc>
          <w:tcPr>
            <w:tcW w:type="dxa" w:w="2088"/>
            <w:vAlign w:val="center"/>
            <w:tcMar>
              <w:top w:w="80" w:type="dxa"/>
              <w:start w:w="90" w:type="dxa"/>
              <w:bottom w:w="80" w:type="dxa"/>
              <w:end w:w="90" w:type="dxa"/>
            </w:tcMar>
          </w:tcPr>
          <w:p>
            <w:pPr>
              <w:spacing w:after="0" w:before="0" w:line="240" w:lineRule="auto"/>
            </w:pPr>
            <w:r/>
            <w:r>
              <w:rPr>
                <w:rFonts w:ascii="Noto Sans" w:hAnsi="Noto Sans"/>
                <w:b/>
                <w:color w:val="1D2930"/>
                <w:sz w:val="14"/>
              </w:rPr>
              <w:t>Water quality 2025</w:t>
            </w:r>
          </w:p>
        </w:tc>
        <w:tc>
          <w:tcPr>
            <w:tcW w:type="dxa" w:w="662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195 readings / 65 dates; 71 below 2.0 ppm (71 / 195 = 36.4%); 55 of 71 lack corrective action. Twelve in-range 3.5-3.6 readings were incorrectly called high.</w:t>
            </w:r>
          </w:p>
        </w:tc>
        <w:tc>
          <w:tcPr>
            <w:tcW w:type="dxa" w:w="280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Chemistry excursion and closure/re-test documentation violation.</w:t>
            </w:r>
          </w:p>
        </w:tc>
      </w:tr>
      <w:tr>
        <w:trPr>
          <w:cantSplit/>
        </w:trPr>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Water quality 2026</w:t>
            </w:r>
          </w:p>
        </w:tc>
        <w:tc>
          <w:tcPr>
            <w:tcW w:type="dxa" w:w="662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141 readings / 47 dates; 49 below 2.0 ppm (34.8%); 38 lack action. Required 58 days x 3 = 174, so 33 readings are absent.</w:t>
            </w:r>
          </w:p>
        </w:tc>
        <w:tc>
          <w:tcPr>
            <w:tcW w:type="dxa" w:w="280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Chemistry and legal-log completeness violation.</w:t>
            </w:r>
          </w:p>
        </w:tc>
      </w:tr>
      <w:tr>
        <w:trPr>
          <w:cantSplit/>
        </w:trPr>
        <w:tc>
          <w:tcPr>
            <w:tcW w:type="dxa" w:w="2088"/>
            <w:vAlign w:val="center"/>
            <w:tcMar>
              <w:top w:w="80" w:type="dxa"/>
              <w:start w:w="90" w:type="dxa"/>
              <w:bottom w:w="80" w:type="dxa"/>
              <w:end w:w="90" w:type="dxa"/>
            </w:tcMar>
          </w:tcPr>
          <w:p>
            <w:pPr>
              <w:spacing w:after="0" w:before="0" w:line="240" w:lineRule="auto"/>
            </w:pPr>
            <w:r/>
            <w:r>
              <w:rPr>
                <w:rFonts w:ascii="Noto Sans" w:hAnsi="Noto Sans"/>
                <w:b/>
                <w:color w:val="1D2930"/>
                <w:sz w:val="14"/>
              </w:rPr>
              <w:t>Ratio schedule 2025</w:t>
            </w:r>
          </w:p>
        </w:tc>
        <w:tc>
          <w:tcPr>
            <w:tcW w:type="dxa" w:w="662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768 mismatches / 954 blocks (80.5%). On the governing board count, 27 blocks require more guards: 27 / 954 = 2.8%.</w:t>
            </w:r>
          </w:p>
        </w:tc>
        <w:tc>
          <w:tcPr>
            <w:tcW w:type="dxa" w:w="280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Ratio or required reconciliation not demonstrated.</w:t>
            </w:r>
          </w:p>
        </w:tc>
      </w:tr>
      <w:tr>
        <w:trPr>
          <w:cantSplit/>
        </w:trPr>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Ratio schedule 2026</w:t>
            </w:r>
          </w:p>
        </w:tc>
        <w:tc>
          <w:tcPr>
            <w:tcW w:type="dxa" w:w="662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676 mismatches / 846 blocks (79.9%); 17 board-basis shortfalls (2.0%). Required 58 days x 18 blocks = 1,044, so 198 rows are absent.</w:t>
            </w:r>
          </w:p>
        </w:tc>
        <w:tc>
          <w:tcPr>
            <w:tcW w:type="dxa" w:w="280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Ratio and schedule-completeness exceptions.</w:t>
            </w:r>
          </w:p>
        </w:tc>
      </w:tr>
      <w:tr>
        <w:trPr>
          <w:cantSplit/>
        </w:trPr>
        <w:tc>
          <w:tcPr>
            <w:tcW w:type="dxa" w:w="2088"/>
            <w:vAlign w:val="center"/>
            <w:tcMar>
              <w:top w:w="80" w:type="dxa"/>
              <w:start w:w="90" w:type="dxa"/>
              <w:bottom w:w="80" w:type="dxa"/>
              <w:end w:w="90" w:type="dxa"/>
            </w:tcMar>
          </w:tcPr>
          <w:p>
            <w:pPr>
              <w:spacing w:after="0" w:before="0" w:line="240" w:lineRule="auto"/>
            </w:pPr>
            <w:r/>
            <w:r>
              <w:rPr>
                <w:rFonts w:ascii="Noto Sans" w:hAnsi="Noto Sans"/>
                <w:b/>
                <w:color w:val="1D2930"/>
                <w:sz w:val="14"/>
              </w:rPr>
              <w:t>Incident log 2025</w:t>
            </w:r>
          </w:p>
        </w:tc>
        <w:tc>
          <w:tcPr>
            <w:tcW w:type="dxa" w:w="662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118 incidents; 61 follow-up fields blank, so only 57 / 118 = 48.3% complete. Includes 2 tired-swimmer rescues and 3 board searches.</w:t>
            </w:r>
          </w:p>
        </w:tc>
        <w:tc>
          <w:tcPr>
            <w:tcW w:type="dxa" w:w="280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Same-day record and follow-up control violation.</w:t>
            </w:r>
          </w:p>
        </w:tc>
      </w:tr>
      <w:tr>
        <w:trPr>
          <w:cantSplit/>
        </w:trPr>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Incident log 2026</w:t>
            </w:r>
          </w:p>
        </w:tc>
        <w:tc>
          <w:tcPr>
            <w:tcW w:type="dxa" w:w="662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104 incidents through August 13; 52 follow-up fields blank = 50.0% incomplete. Includes 5 tired-swimmer rescues and 2 board searches.</w:t>
            </w:r>
          </w:p>
        </w:tc>
        <w:tc>
          <w:tcPr>
            <w:tcW w:type="dxa" w:w="280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Same-day record and follow-up control violation.</w:t>
            </w:r>
          </w:p>
        </w:tc>
      </w:tr>
    </w:tbl>
    <w:p>
      <w:pPr>
        <w:spacing w:after="0"/>
      </w:pPr>
    </w:p>
    <w:p>
      <w:r>
        <w:rPr>
          <w:b/>
        </w:rPr>
        <w:t xml:space="preserve">Incident-reportability limit. </w:t>
      </w:r>
      <w:r>
        <w:t>Across the supplied logs, no entry documents submersion, unresponsiveness, EMS transport, or a linked claim. Six of seven tired-swimmer assist entries do not record the rescue tube described in the narrative, which is a documentation defect. Neither the operating policy nor emergency plan states the Aldervale statutory reporting threshold. The Bureau's incident-reportability schedule or governing regulation is required before any camper event can be labeled state-reportable. [S9, S12]</w:t>
      </w:r>
    </w:p>
    <w:p>
      <w:r>
        <w:br w:type="page"/>
      </w:r>
    </w:p>
    <w:p>
      <w:pPr>
        <w:pStyle w:val="Heading2"/>
      </w:pPr>
      <w:r>
        <w:t>Segregated deferred-site observations</w:t>
      </w:r>
    </w:p>
    <w:p>
      <w:r>
        <w:rPr>
          <w:b/>
        </w:rPr>
        <w:t xml:space="preserve">Treatment. </w:t>
      </w:r>
      <w:r>
        <w:t>The following records are retained apart from the Corrigwell calculation because the formal sweep labels these locations never-examined. They are not a basis for a compliance clearance and do not enlarge Case BYC-FND-2026-0147. [S7, S15]</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60"/>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DEFERRED SITE</w:t>
            </w:r>
          </w:p>
        </w:tc>
        <w:tc>
          <w:tcPr>
            <w:tcW w:type="dxa" w:w="2376"/>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AVAILABLE RECORD</w:t>
            </w:r>
          </w:p>
        </w:tc>
        <w:tc>
          <w:tcPr>
            <w:tcW w:type="dxa" w:w="6984"/>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SEGREGATED OBSERVATION</w:t>
            </w:r>
          </w:p>
        </w:tc>
      </w:tr>
      <w:tr>
        <w:trPr>
          <w:cantSplit/>
        </w:trPr>
        <w:tc>
          <w:tcPr>
            <w:tcW w:type="dxa" w:w="2160"/>
            <w:vAlign w:val="center"/>
            <w:tcMar>
              <w:top w:w="80" w:type="dxa"/>
              <w:start w:w="90" w:type="dxa"/>
              <w:bottom w:w="80" w:type="dxa"/>
              <w:end w:w="90" w:type="dxa"/>
            </w:tcMar>
          </w:tcPr>
          <w:p>
            <w:pPr>
              <w:spacing w:after="0" w:before="0" w:line="240" w:lineRule="auto"/>
            </w:pPr>
            <w:r/>
            <w:r>
              <w:rPr>
                <w:rFonts w:ascii="Noto Sans" w:hAnsi="Noto Sans"/>
                <w:b/>
                <w:color w:val="1D2930"/>
                <w:sz w:val="14"/>
              </w:rPr>
              <w:t>Tamarack Ridge</w:t>
            </w:r>
          </w:p>
        </w:tc>
        <w:tc>
          <w:tcPr>
            <w:tcW w:type="dxa" w:w="2376"/>
            <w:vAlign w:val="center"/>
            <w:tcMar>
              <w:top w:w="80" w:type="dxa"/>
              <w:start w:w="90" w:type="dxa"/>
              <w:bottom w:w="80" w:type="dxa"/>
              <w:end w:w="90" w:type="dxa"/>
            </w:tcMar>
          </w:tcPr>
          <w:p>
            <w:pPr>
              <w:spacing w:after="0" w:before="0" w:line="240" w:lineRule="auto"/>
            </w:pPr>
            <w:r/>
            <w:r>
              <w:rPr>
                <w:rFonts w:ascii="Noto Sans" w:hAnsi="Noto Sans"/>
                <w:b w:val="0"/>
                <w:color w:val="1D2930"/>
                <w:sz w:val="14"/>
              </w:rPr>
              <w:t>Water log only</w:t>
            </w:r>
          </w:p>
        </w:tc>
        <w:tc>
          <w:tcPr>
            <w:tcW w:type="dxa" w:w="698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94 / 174 required readings; 27 below 2.0 ppm and 23 of those lack action. Missing 80 readings.</w:t>
            </w:r>
          </w:p>
        </w:tc>
      </w:tr>
      <w:tr>
        <w:trPr>
          <w:cantSplit/>
        </w:trPr>
        <w:tc>
          <w:tcPr>
            <w:tcW w:type="dxa" w:w="216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Bluegill Point</w:t>
            </w:r>
          </w:p>
        </w:tc>
        <w:tc>
          <w:tcPr>
            <w:tcW w:type="dxa" w:w="2376"/>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No operating logs supplied</w:t>
            </w:r>
          </w:p>
        </w:tc>
        <w:tc>
          <w:tcPr>
            <w:tcW w:type="dxa" w:w="698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No operating conclusion supported.</w:t>
            </w:r>
          </w:p>
        </w:tc>
      </w:tr>
      <w:tr>
        <w:trPr>
          <w:cantSplit/>
        </w:trPr>
        <w:tc>
          <w:tcPr>
            <w:tcW w:type="dxa" w:w="2160"/>
            <w:vAlign w:val="center"/>
            <w:tcMar>
              <w:top w:w="80" w:type="dxa"/>
              <w:start w:w="90" w:type="dxa"/>
              <w:bottom w:w="80" w:type="dxa"/>
              <w:end w:w="90" w:type="dxa"/>
            </w:tcMar>
          </w:tcPr>
          <w:p>
            <w:pPr>
              <w:spacing w:after="0" w:before="0" w:line="240" w:lineRule="auto"/>
            </w:pPr>
            <w:r/>
            <w:r>
              <w:rPr>
                <w:rFonts w:ascii="Noto Sans" w:hAnsi="Noto Sans"/>
                <w:b/>
                <w:color w:val="1D2930"/>
                <w:sz w:val="14"/>
              </w:rPr>
              <w:t>Heron Landing</w:t>
            </w:r>
          </w:p>
        </w:tc>
        <w:tc>
          <w:tcPr>
            <w:tcW w:type="dxa" w:w="2376"/>
            <w:vAlign w:val="center"/>
            <w:tcMar>
              <w:top w:w="80" w:type="dxa"/>
              <w:start w:w="90" w:type="dxa"/>
              <w:bottom w:w="80" w:type="dxa"/>
              <w:end w:w="90" w:type="dxa"/>
            </w:tcMar>
          </w:tcPr>
          <w:p>
            <w:pPr>
              <w:spacing w:after="0" w:before="0" w:line="240" w:lineRule="auto"/>
            </w:pPr>
            <w:r/>
            <w:r>
              <w:rPr>
                <w:rFonts w:ascii="Noto Sans" w:hAnsi="Noto Sans"/>
                <w:b w:val="0"/>
                <w:color w:val="1D2930"/>
                <w:sz w:val="14"/>
              </w:rPr>
              <w:t>Ratio schedule only</w:t>
            </w:r>
          </w:p>
        </w:tc>
        <w:tc>
          <w:tcPr>
            <w:tcW w:type="dxa" w:w="698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110 / 141 board mismatches; 2 board-basis shortfalls; 33 scheduled rows absent.</w:t>
            </w:r>
          </w:p>
        </w:tc>
      </w:tr>
      <w:tr>
        <w:trPr>
          <w:cantSplit/>
        </w:trPr>
        <w:tc>
          <w:tcPr>
            <w:tcW w:type="dxa" w:w="2160"/>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Otter Run</w:t>
            </w:r>
          </w:p>
        </w:tc>
        <w:tc>
          <w:tcPr>
            <w:tcW w:type="dxa" w:w="2376"/>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Water log only</w:t>
            </w:r>
          </w:p>
        </w:tc>
        <w:tc>
          <w:tcPr>
            <w:tcW w:type="dxa" w:w="698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94 / 116 required readings; 31 below 2.0 ppm and 23 lack action. Missing 22 readings.</w:t>
            </w:r>
          </w:p>
        </w:tc>
      </w:tr>
    </w:tbl>
    <w:p>
      <w:pPr>
        <w:spacing w:after="0"/>
      </w:pPr>
    </w:p>
    <w:p>
      <w:pPr>
        <w:pStyle w:val="Heading1"/>
      </w:pPr>
      <w:r>
        <w:t>7. Deadline Reconciliation and Feasibility</w:t>
      </w:r>
    </w:p>
    <w:p>
      <w:r>
        <w:rPr>
          <w:b/>
        </w:rPr>
        <w:t xml:space="preserve">Calendar basis. </w:t>
      </w:r>
      <w:r>
        <w:t>Relative intervals are measured after July 1, 2026. The underwriting date is August 1 minus 30 calendar days = July 2; July 1 is 31 days before the anniversary. The CAP date is June 15 plus 45 calendar days = July 30: 15 days from June 16-30 plus 30 days in July. The license date is fixed by the Licensing Unit. [S1, S17-S19]</w:t>
      </w:r>
    </w:p>
    <w:p>
      <w:pPr>
        <w:pStyle w:val="Caption"/>
        <w:spacing w:before="100" w:after="60"/>
      </w:pPr>
      <w:r>
        <w:rPr>
          <w:b/>
        </w:rPr>
        <w:t>Table 5. July deadline reconciliation, ownership, and outcome. Sources: carrier letter, Bureau finding, deadline memo, CAP, filed application, and subsequent minutes. [S1, S6, S17-S20]</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DATE / RELATIVE CLOCK</w:t>
            </w:r>
          </w:p>
        </w:tc>
        <w:tc>
          <w:tcPr>
            <w:tcW w:type="dxa" w:w="3384"/>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AUTHORITY AND OWNER</w:t>
            </w:r>
          </w:p>
        </w:tc>
        <w:tc>
          <w:tcPr>
            <w:tcW w:type="dxa" w:w="6048"/>
            <w:shd w:fill="0B5D5E"/>
            <w:vAlign w:val="center"/>
            <w:tcMar>
              <w:top w:w="80" w:type="dxa"/>
              <w:start w:w="90" w:type="dxa"/>
              <w:bottom w:w="80" w:type="dxa"/>
              <w:end w:w="90" w:type="dxa"/>
            </w:tcMar>
          </w:tcPr>
          <w:p>
            <w:pPr>
              <w:spacing w:after="0" w:before="0" w:line="240" w:lineRule="auto"/>
            </w:pPr>
            <w:r/>
            <w:r>
              <w:rPr>
                <w:rFonts w:ascii="Noto Sans" w:hAnsi="Noto Sans"/>
                <w:b/>
                <w:color w:val="FFFFFF"/>
                <w:sz w:val="15"/>
              </w:rPr>
              <w:t>FEASIBILITY / EVIDENCE</w:t>
            </w:r>
          </w:p>
        </w:tc>
      </w:tr>
      <w:tr>
        <w:trPr>
          <w:cantSplit/>
        </w:trPr>
        <w:tc>
          <w:tcPr>
            <w:tcW w:type="dxa" w:w="2088"/>
            <w:vAlign w:val="center"/>
            <w:tcMar>
              <w:top w:w="80" w:type="dxa"/>
              <w:start w:w="90" w:type="dxa"/>
              <w:bottom w:w="80" w:type="dxa"/>
              <w:end w:w="90" w:type="dxa"/>
            </w:tcMar>
          </w:tcPr>
          <w:p>
            <w:pPr>
              <w:spacing w:after="0" w:before="0" w:line="240" w:lineRule="auto"/>
            </w:pPr>
            <w:r/>
            <w:r>
              <w:rPr>
                <w:rFonts w:ascii="Noto Sans" w:hAnsi="Noto Sans"/>
                <w:b/>
                <w:color w:val="1D2930"/>
                <w:sz w:val="14"/>
              </w:rPr>
              <w:t>Underwriting</w:t>
              <w:br/>
              <w:t>July 2</w:t>
              <w:br/>
              <w:t>Tomorrow</w:t>
            </w:r>
          </w:p>
        </w:tc>
        <w:tc>
          <w:tcPr>
            <w:tcW w:type="dxa" w:w="338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Great Pines Mutual; internal calendar: Priya Natarajan</w:t>
            </w:r>
          </w:p>
        </w:tc>
        <w:tc>
          <w:tcPr>
            <w:tcW w:type="dxa" w:w="604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No. The open CAP and affected count, not completed re-tests, had to be disclosed. A scratch note says the packet went June 30, but no carrier receipt proves timely delivery.</w:t>
            </w:r>
          </w:p>
        </w:tc>
      </w:tr>
      <w:tr>
        <w:trPr>
          <w:cantSplit/>
        </w:trPr>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License renewal</w:t>
              <w:br/>
              <w:t>July 15</w:t>
              <w:br/>
              <w:t>14 days</w:t>
            </w:r>
          </w:p>
        </w:tc>
        <w:tc>
          <w:tcPr>
            <w:tcW w:type="dxa" w:w="338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Bureau Licensing Unit; calendar: Lindsay Booker; legal applicant: Harold Brennan</w:t>
            </w:r>
          </w:p>
        </w:tc>
        <w:tc>
          <w:tcPr>
            <w:tcW w:type="dxa" w:w="604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Re-tests could not be complete because CAP Action 1 itself was due July 17. The application was received July 14, one day early, and accurately stated CAP in progress.</w:t>
            </w:r>
          </w:p>
        </w:tc>
      </w:tr>
      <w:tr>
        <w:trPr>
          <w:cantSplit/>
        </w:trPr>
        <w:tc>
          <w:tcPr>
            <w:tcW w:type="dxa" w:w="2088"/>
            <w:vAlign w:val="center"/>
            <w:tcMar>
              <w:top w:w="80" w:type="dxa"/>
              <w:start w:w="90" w:type="dxa"/>
              <w:bottom w:w="80" w:type="dxa"/>
              <w:end w:w="90" w:type="dxa"/>
            </w:tcMar>
          </w:tcPr>
          <w:p>
            <w:pPr>
              <w:spacing w:after="0" w:before="0" w:line="240" w:lineRule="auto"/>
            </w:pPr>
            <w:r/>
            <w:r>
              <w:rPr>
                <w:rFonts w:ascii="Noto Sans" w:hAnsi="Noto Sans"/>
                <w:b/>
                <w:color w:val="1D2930"/>
                <w:sz w:val="14"/>
              </w:rPr>
              <w:t>CAP response</w:t>
              <w:br/>
              <w:t>July 30</w:t>
              <w:br/>
              <w:t>29 days</w:t>
            </w:r>
          </w:p>
        </w:tc>
        <w:tc>
          <w:tcPr>
            <w:tcW w:type="dxa" w:w="3384"/>
            <w:vAlign w:val="center"/>
            <w:tcMar>
              <w:top w:w="80" w:type="dxa"/>
              <w:start w:w="90" w:type="dxa"/>
              <w:bottom w:w="80" w:type="dxa"/>
              <w:end w:w="90" w:type="dxa"/>
            </w:tcMar>
          </w:tcPr>
          <w:p>
            <w:pPr>
              <w:spacing w:after="0" w:before="0" w:line="240" w:lineRule="auto"/>
            </w:pPr>
            <w:r/>
            <w:r>
              <w:rPr>
                <w:rFonts w:ascii="Noto Sans" w:hAnsi="Noto Sans"/>
                <w:b w:val="0"/>
                <w:color w:val="1D2930"/>
                <w:sz w:val="14"/>
              </w:rPr>
              <w:t>Bureau Findings Unit; CAP calendar: Raquel Delgado; filing: Priya Natarajan; regulated executive: Harold Brennan</w:t>
            </w:r>
          </w:p>
        </w:tc>
        <w:tc>
          <w:tcPr>
            <w:tcW w:type="dxa" w:w="604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Not achieved on the supplied record. August 10 minutes report 84% complete and an August 12 evidence package; no July 30 receipt, extension, or closure letter is present.</w:t>
            </w:r>
          </w:p>
        </w:tc>
      </w:tr>
      <w:tr>
        <w:trPr>
          <w:cantSplit/>
        </w:trPr>
        <w:tc>
          <w:tcPr>
            <w:tcW w:type="dxa" w:w="2088"/>
            <w:shd w:fill="F5F8F8"/>
            <w:vAlign w:val="center"/>
            <w:tcMar>
              <w:top w:w="80" w:type="dxa"/>
              <w:start w:w="90" w:type="dxa"/>
              <w:bottom w:w="80" w:type="dxa"/>
              <w:end w:w="90" w:type="dxa"/>
            </w:tcMar>
          </w:tcPr>
          <w:p>
            <w:pPr>
              <w:spacing w:after="0" w:before="0" w:line="240" w:lineRule="auto"/>
            </w:pPr>
            <w:r/>
            <w:r>
              <w:rPr>
                <w:rFonts w:ascii="Noto Sans" w:hAnsi="Noto Sans"/>
                <w:b/>
                <w:color w:val="1D2930"/>
                <w:sz w:val="14"/>
              </w:rPr>
              <w:t>Season close</w:t>
              <w:br/>
              <w:t>August 20</w:t>
              <w:br/>
              <w:t>50 days</w:t>
            </w:r>
          </w:p>
        </w:tc>
        <w:tc>
          <w:tcPr>
            <w:tcW w:type="dxa" w:w="3384"/>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Aquatics Standards / Operations</w:t>
            </w:r>
          </w:p>
        </w:tc>
        <w:tc>
          <w:tcPr>
            <w:tcW w:type="dxa" w:w="6048"/>
            <w:shd w:fill="F5F8F8"/>
            <w:vAlign w:val="center"/>
            <w:tcMar>
              <w:top w:w="80" w:type="dxa"/>
              <w:start w:w="90" w:type="dxa"/>
              <w:bottom w:w="80" w:type="dxa"/>
              <w:end w:w="90" w:type="dxa"/>
            </w:tcMar>
          </w:tcPr>
          <w:p>
            <w:pPr>
              <w:spacing w:after="0" w:before="0" w:line="240" w:lineRule="auto"/>
            </w:pPr>
            <w:r/>
            <w:r>
              <w:rPr>
                <w:rFonts w:ascii="Noto Sans" w:hAnsi="Noto Sans"/>
                <w:b w:val="0"/>
                <w:color w:val="1D2930"/>
                <w:sz w:val="14"/>
              </w:rPr>
              <w:t>Potentially achievable operationally, but not proven. Using 800 as the unstated 84% denominator gives 672 complete and 128 remaining; 128 / 53.33 = 2.4, or 3 comparable test dates. No valid closure roster supports that estimate.</w:t>
            </w:r>
          </w:p>
        </w:tc>
      </w:tr>
    </w:tbl>
    <w:p>
      <w:pPr>
        <w:spacing w:after="0"/>
      </w:pPr>
    </w:p>
    <w:p>
      <w:r>
        <w:rPr>
          <w:b/>
        </w:rPr>
        <w:t xml:space="preserve">Bottom-line feasibility. </w:t>
      </w:r>
      <w:r>
        <w:t>The 800-record scope was not supportably completable before all July dates. It plainly could not be complete by July 2 or July 15; subsequent records show it was not implemented by July 30. Even the season-close forecast remains conditional because the archive has zero demonstrably deployable assessors and no reliable re-assessment roster. [S6, S8, S20]</w:t>
      </w:r>
    </w:p>
    <w:p>
      <w:pPr>
        <w:pStyle w:val="Heading1"/>
      </w:pPr>
      <w:r>
        <w:t>8. Required Disposition</w:t>
      </w:r>
    </w:p>
    <w:p>
      <w:pPr>
        <w:pStyle w:val="ListBullet"/>
        <w:spacing w:after="60"/>
        <w:ind w:left="259" w:hanging="202"/>
      </w:pPr>
      <w:r>
        <w:t>File the Bureau response on an 800-record Corrigwell denominator, segregating the 3,200 historical exposure records and the four never-examined sites. Do not describe the deferred sites as cleared or noncompliant. [S1, S6, S7]</w:t>
      </w:r>
    </w:p>
    <w:p>
      <w:pPr>
        <w:pStyle w:val="ListBullet"/>
        <w:spacing w:after="60"/>
        <w:ind w:left="259" w:hanging="202"/>
      </w:pPr>
      <w:r>
        <w:t>Replace the unsupported 'clean operational record' statement with the quantified exceptions in Table 4, while stating that no supplied record establishes an independently state-reportable camper incident. [S1, S9-S12]</w:t>
      </w:r>
    </w:p>
    <w:p>
      <w:pPr>
        <w:pStyle w:val="ListBullet"/>
        <w:spacing w:after="60"/>
        <w:ind w:left="259" w:hanging="202"/>
      </w:pPr>
      <w:r>
        <w:t>Do not count any assessor as deployable until the file holds a current WSI, LGI, or LG-WF; Form ASC-2; a Corrigwell assignment or approved transfer; and conflict-free availability. Sign the controlled roster after the final classification day. [S2-S4, S8]</w:t>
      </w:r>
    </w:p>
    <w:p>
      <w:pPr>
        <w:pStyle w:val="ListBullet"/>
        <w:spacing w:after="60"/>
        <w:ind w:left="259" w:hanging="202"/>
      </w:pPr>
      <w:r>
        <w:t>Obtain and retain the Bureau Findings Unit receipt, any extension or disposition, the final signed re-assessment roster, and the carrier receipt. Their absence prevents a conclusion that CAP implementation or underwriting delivery was timely. [S1, S6, S17-S20]</w:t>
      </w:r>
    </w:p>
    <w:p>
      <w:pPr>
        <w:pStyle w:val="ListBullet"/>
        <w:spacing w:after="60"/>
        <w:ind w:left="259" w:hanging="202"/>
      </w:pPr>
      <w:r>
        <w:t>Before the 2027 opening, test every enrolled camper afresh, complete the four deferred credential examinations, and reconcile the missing Tamarack Ridge and Heron Landing classification rosters. [S4, S7, S15]</w:t>
      </w:r>
    </w:p>
    <w:p>
      <w:pPr>
        <w:pStyle w:val="Heading1"/>
      </w:pPr>
      <w:r>
        <w:t>Source Register</w:t>
      </w:r>
    </w:p>
    <w:p>
      <w:pPr>
        <w:pStyle w:val="SourceNote"/>
      </w:pPr>
      <w:r>
        <w:t>All paths are relative to /home/agent/workspace. Sheet rows refer to the supplied workbooks; page references refer to the supplied PDFs. NYC and Chicago regional files were not used.</w:t>
      </w:r>
    </w:p>
    <w:p>
      <w:pPr>
        <w:pStyle w:val="SourceNote"/>
        <w:keepLines/>
      </w:pPr>
      <w:r>
        <w:rPr>
          <w:b/>
          <w:color w:val="0B5D5E"/>
        </w:rPr>
        <w:t xml:space="preserve">S1  </w:t>
      </w:r>
      <w:r>
        <w:t>State Licensing/State Finding Letter - Corrigwell 2026.pdf, pages 1-2 (case scope, corrective action, June 15 letter date, July 15 license date, 45-day response).</w:t>
      </w:r>
    </w:p>
    <w:p>
      <w:pPr>
        <w:pStyle w:val="SourceNote"/>
        <w:keepLines/>
      </w:pPr>
      <w:r>
        <w:rPr>
          <w:b/>
          <w:color w:val="0B5D5E"/>
        </w:rPr>
        <w:t xml:space="preserve">S2  </w:t>
      </w:r>
      <w:r>
        <w:t>Credential Records/Credential-Track Authorization Matrix.xlsx, Authorization Matrix rows 2-13 (controlling-copy designation; WSI/LGI/LG-WF authority and Form ASC-2 prerequisite; AQS exclusion).</w:t>
      </w:r>
    </w:p>
    <w:p>
      <w:pPr>
        <w:pStyle w:val="SourceNote"/>
        <w:keepLines/>
      </w:pPr>
      <w:r>
        <w:rPr>
          <w:b/>
          <w:color w:val="0B5D5E"/>
        </w:rPr>
        <w:t xml:space="preserve">S3  </w:t>
      </w:r>
      <w:r>
        <w:t>Swim Classification Records/Roster Completion Instructions.docx, rules 4 and 6 (full assessor name; post-session authorized signature).</w:t>
      </w:r>
    </w:p>
    <w:p>
      <w:pPr>
        <w:pStyle w:val="SourceNote"/>
        <w:keepLines/>
      </w:pPr>
      <w:r>
        <w:rPr>
          <w:b/>
          <w:color w:val="0B5D5E"/>
        </w:rPr>
        <w:t xml:space="preserve">S4  </w:t>
      </w:r>
      <w:r>
        <w:t>Swim Classification Records/Swim Test Administration Guide.docx, sections 6, 7, and 11 (roster is test record; no prior-season carryover; Form ASC-2 training sign-off). Also Corporate Risk and Compliance/Swim Classification and Authorization Standard.docx, sections 3, 5, and 9 (matrix authority and invalid-signature remedy).</w:t>
      </w:r>
    </w:p>
    <w:p>
      <w:pPr>
        <w:pStyle w:val="SourceNote"/>
        <w:keepLines/>
      </w:pPr>
      <w:r>
        <w:rPr>
          <w:b/>
          <w:color w:val="0B5D5E"/>
        </w:rPr>
        <w:t xml:space="preserve">S5  </w:t>
      </w:r>
      <w:r>
        <w:t>Swim Classification Records/Corrigwell/2026/Corrigwell Swim Classification Roster 2026.xlsx, Classification Roster rows 7:806 and 808:812 (800 records; sessions and bands; assessor fields; June 26 AQS certification).</w:t>
      </w:r>
    </w:p>
    <w:p>
      <w:pPr>
        <w:pStyle w:val="SourceNote"/>
        <w:keepLines/>
      </w:pPr>
      <w:r>
        <w:rPr>
          <w:b/>
          <w:color w:val="0B5D5E"/>
        </w:rPr>
        <w:t xml:space="preserve">S6  </w:t>
      </w:r>
      <w:r>
        <w:t>Corporate Risk and Compliance/Corrective Action Plan 2026.docx, sections 4-6 and action table (all 2026 Corrigwell campers; July 17 Action 1; July 30 filing; August 20 close). Historical counts recomputed from Swim Classification Records/Corrigwell/2022/Corrigwell Swim Classification Roster 2022.xlsx, rows 7:794; Swim Classification Records/Corrigwell/2023/Corrigwell Swim Classification Roster 2023.xlsx, rows 7:801; Swim Classification Records/Corrigwell/2024/Corrigwell Swim Classification Roster 2024.xlsx, rows 7:811; Swim Classification Records/Corrigwell/2025/Corrigwell Swim Classification Roster 2025.xlsx, rows 7:818.</w:t>
      </w:r>
    </w:p>
    <w:p>
      <w:pPr>
        <w:pStyle w:val="SourceNote"/>
        <w:keepLines/>
      </w:pPr>
      <w:r>
        <w:rPr>
          <w:b/>
          <w:color w:val="0B5D5E"/>
        </w:rPr>
        <w:t xml:space="preserve">S7  </w:t>
      </w:r>
      <w:r>
        <w:t>Corporate Risk and Compliance/Six-Site Credential Sweep Report 2026.docx, sections 1-6 and Table 2 (Corrigwell unauthorized-and-examined; Loon cleared; four never-examined/deferred; scope of sweep). Corporate Risk and Compliance/Six-Site Inspection History.xlsx, Credential Sweep Status rows 6:11.</w:t>
      </w:r>
    </w:p>
    <w:p>
      <w:pPr>
        <w:pStyle w:val="SourceNote"/>
        <w:keepLines/>
      </w:pPr>
      <w:r>
        <w:rPr>
          <w:b/>
          <w:color w:val="0B5D5E"/>
        </w:rPr>
        <w:t xml:space="preserve">S8  </w:t>
      </w:r>
      <w:r>
        <w:t>Credential Records/Corrigwell/2026/Corrigwell Lifeguard Certification File 2026.xlsx, Certification Records rows 6:116 and Summary by Credential rows 11:14 (46 qualifying records; 33 current unique people; no ASC-2 field). Credential Records/WSI-LGI Course Completion Roster 2026.csv, rows 2:27 (25 WSI + 1 LGI pass, without assignment/ASC-2 evidence).</w:t>
      </w:r>
    </w:p>
    <w:p>
      <w:pPr>
        <w:pStyle w:val="SourceNote"/>
        <w:keepLines/>
      </w:pPr>
      <w:r>
        <w:rPr>
          <w:b/>
          <w:color w:val="0B5D5E"/>
        </w:rPr>
        <w:t xml:space="preserve">S9  </w:t>
      </w:r>
      <w:r>
        <w:t>Corporate Risk and Compliance/Waterfront Standard Operating Policies.docx, sections 2, 4, 6, 8, and 13 (1:25 ratio, stabilized chemistry range, incident fields, legal records, August 20 close). Waterfront Operations/Emergency Action Plan.docx, sections 4 and 9 (rescue and incident records). Corporate Risk and Compliance/Scope Isolation Memo 2026.docx, Conclusion (conflicting clean-record assertion).</w:t>
      </w:r>
    </w:p>
    <w:p>
      <w:pPr>
        <w:pStyle w:val="SourceNote"/>
        <w:keepLines/>
      </w:pPr>
      <w:r>
        <w:rPr>
          <w:b/>
          <w:color w:val="0B5D5E"/>
        </w:rPr>
        <w:t xml:space="preserve">S10  </w:t>
      </w:r>
      <w:r>
        <w:t>Waterfront Operations/Buddy Board and Supervision Procedures.docx, sections 1, 3, and 4 (buddy board is authoritative; reconciliation; required guards = swimmers / 25 rounded up).</w:t>
      </w:r>
    </w:p>
    <w:p>
      <w:pPr>
        <w:pStyle w:val="SourceNote"/>
        <w:keepLines/>
      </w:pPr>
      <w:r>
        <w:rPr>
          <w:b/>
          <w:color w:val="0B5D5E"/>
        </w:rPr>
        <w:t xml:space="preserve">S11  </w:t>
      </w:r>
      <w:r>
        <w:t>Waterfront Operations/Corrigwell/2025/Corrigwell Water Quality Log 2025.xlsx, Season Log rows 7:201; Waterfront Operations/Corrigwell/2026/Corrigwell Water Quality Log 2026.xlsx, Season Log rows 43:183; Swim Classification Records/Corrigwell/2026/Session Calendar and Enrollment 2026.xlsx, rows 6:8 (58 operating days and testing cadence arithmetic).</w:t>
      </w:r>
    </w:p>
    <w:p>
      <w:pPr>
        <w:pStyle w:val="SourceNote"/>
        <w:keepLines/>
      </w:pPr>
      <w:r>
        <w:rPr>
          <w:b/>
          <w:color w:val="0B5D5E"/>
        </w:rPr>
        <w:t xml:space="preserve">S12  </w:t>
      </w:r>
      <w:r>
        <w:t>Waterfront Operations/Corrigwell/2025/Corrigwell Ratio Schedule 2025.xlsx, rows 7:960; Waterfront Operations/Corrigwell/2026/Corrigwell Ratio Schedule 2026.xlsx, rows 7:852; Waterfront Operations/Corrigwell/2025/Corrigwell Incident and First Aid Log 2025.xlsx, rows 7:124; Waterfront Operations/Corrigwell/2026/Corrigwell Incident and First Aid Log 2026.xlsx, rows 7:110.</w:t>
      </w:r>
    </w:p>
    <w:p>
      <w:pPr>
        <w:pStyle w:val="SourceNote"/>
        <w:keepLines/>
      </w:pPr>
      <w:r>
        <w:rPr>
          <w:b/>
          <w:color w:val="0B5D5E"/>
        </w:rPr>
        <w:t xml:space="preserve">S13  </w:t>
      </w:r>
      <w:r>
        <w:t>Swim Classification Records/Corrigwell/2026/Corrigwell Swim Test Summary 2026.xlsx, Test Events rows 6:149; Swim Classification Records/Corrigwell/2026/Beginner Test Retest Log 2026.csv, rows 2:63 (identity conflicts and duplicate IDs).</w:t>
      </w:r>
    </w:p>
    <w:p>
      <w:pPr>
        <w:pStyle w:val="SourceNote"/>
        <w:keepLines/>
      </w:pPr>
      <w:r>
        <w:rPr>
          <w:b/>
          <w:color w:val="0B5D5E"/>
        </w:rPr>
        <w:t xml:space="preserve">S14  </w:t>
      </w:r>
      <w:r>
        <w:t>Camp Administration/Aquatics Staffing Plan 2026.docx, sections 2-3; Camp Administration/Staff Roster and Assignments 2026.xlsx, Staff Roster rows 6:155; Camp Administration/Staff Contact List 2026.csv, rows 2:79 (nonmatching workforce populations and lack of release schedule).</w:t>
      </w:r>
    </w:p>
    <w:p>
      <w:pPr>
        <w:pStyle w:val="SourceNote"/>
        <w:keepLines/>
      </w:pPr>
      <w:r>
        <w:rPr>
          <w:b/>
          <w:color w:val="0B5D5E"/>
        </w:rPr>
        <w:t xml:space="preserve">S15  </w:t>
      </w:r>
      <w:r>
        <w:t>Sibling Camp Files/Loon Hollow/Loon Hollow 2026 Swim Classification Roster.xlsx, rows 7:221; Sibling Camp Files/Bluegill Point/Bluegill Point 2026 Swim Classification Roster.csv, rows 2:185; Sibling Camp Files/Otter Run/Otter Run 2026 Swim Classification Roster.xlsx, rows 7:161; Sibling Camp Files/Heron Landing/Heron Landing 2026 Ratio Schedule.xlsx, rows 7:147; Sibling Camp Files/Tamarack Ridge/Tamarack Ridge 2026 Water Quality Log.csv, rows 26:119; Sibling Camp Files/Otter Run/Otter Run 2026 Water Quality Log.csv, rows 26:119.</w:t>
      </w:r>
    </w:p>
    <w:p>
      <w:pPr>
        <w:pStyle w:val="SourceNote"/>
        <w:keepLines/>
      </w:pPr>
      <w:r>
        <w:rPr>
          <w:b/>
          <w:color w:val="0B5D5E"/>
        </w:rPr>
        <w:t xml:space="preserve">S16  </w:t>
      </w:r>
      <w:r>
        <w:t>State Licensing/License History Register 2022-2026.xlsx, License Register rows 22, 42, 62, 82, 102, and 122 and following waterfront-permit rows (all six active; no delisting). State Licensing/Facility Inspection Report - Corrigwell 2026.pdf, page 1 (minor recordkeeping finding and substantial compliance).</w:t>
      </w:r>
    </w:p>
    <w:p>
      <w:pPr>
        <w:pStyle w:val="SourceNote"/>
        <w:keepLines/>
      </w:pPr>
      <w:r>
        <w:rPr>
          <w:b/>
          <w:color w:val="0B5D5E"/>
        </w:rPr>
        <w:t xml:space="preserve">S17  </w:t>
      </w:r>
      <w:r>
        <w:t>Insurance and Claims/Carrier Renewal Questionnaire Cover Letter 2026.pdf, page 1 (August 1 anniversary; July 2 deadline). Corporate Risk and Compliance/deadline reconciliation notes.md, lines 9:13 (June 30 transmission assertion without receipt).</w:t>
      </w:r>
    </w:p>
    <w:p>
      <w:pPr>
        <w:pStyle w:val="SourceNote"/>
        <w:keepLines/>
      </w:pPr>
      <w:r>
        <w:rPr>
          <w:b/>
          <w:color w:val="0B5D5E"/>
        </w:rPr>
        <w:t xml:space="preserve">S18  </w:t>
      </w:r>
      <w:r>
        <w:t>Camp Administration/Deadline Coordination Memo 2026.docx, July deadline table and final paragraph (July 2, July 15, July 30; internal calendar owners).</w:t>
      </w:r>
    </w:p>
    <w:p>
      <w:pPr>
        <w:pStyle w:val="SourceNote"/>
        <w:keepLines/>
      </w:pPr>
      <w:r>
        <w:rPr>
          <w:b/>
          <w:color w:val="0B5D5E"/>
        </w:rPr>
        <w:t xml:space="preserve">S19  </w:t>
      </w:r>
      <w:r>
        <w:t>State Licensing/Youth Camp License Renewal Application 2026.pdf, page 1 (July 14 received stamp; July 15 due date; CAP in progress and July 30 due).</w:t>
      </w:r>
    </w:p>
    <w:p>
      <w:pPr>
        <w:pStyle w:val="SourceNote"/>
        <w:keepLines/>
      </w:pPr>
      <w:r>
        <w:rPr>
          <w:b/>
          <w:color w:val="0B5D5E"/>
        </w:rPr>
        <w:t xml:space="preserve">S20  </w:t>
      </w:r>
      <w:r>
        <w:t>Camp Administration/Aquatics Leadership Meeting Minutes 2022-2026.docx, June 15 and August 10 entries (calendar; subsequent 84% completion and August 12 evidence package).</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5646A"/>
        <w:sz w:val="14"/>
      </w:rPr>
      <w:t xml:space="preserve">Case BYC-FND-2026-0147  |  Compliance audit memorandum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0B5D5E"/>
        <w:sz w:val="15"/>
      </w:rPr>
      <w:t>KVL CAMPS  |  BOARD AND BUREAU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1D29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w:hAnsi="Noto Sans"/>
      <w:b/>
      <w:bCs/>
      <w:color w:val="173B45"/>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oto Sans" w:hAnsi="Noto Sans"/>
      <w:b/>
      <w:bCs/>
      <w:color w:val="0B5D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oto Sans" w:hAnsi="Noto Sans"/>
      <w:b/>
      <w:color w:val="173B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Noto Sans" w:hAnsi="Noto Sans"/>
      <w:b w:val="0"/>
      <w:i/>
      <w:iCs/>
      <w:color w:val="55646A"/>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i w:val="0"/>
      <w:color w:val="55646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line="240" w:lineRule="auto"/>
    </w:pPr>
    <w:rPr>
      <w:rFonts w:ascii="Noto Sans" w:hAnsi="Noto Sans"/>
      <w:color w:val="55646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Swim Assessment Sign-Off Compliance Audit</dc:title>
  <dc:subject>Case BYC-FND-2026-0147</dc:subject>
  <dc:creator>KVL Camps Operations</dc:creator>
  <cp:keywords>swim assessment, credential compliance, licensing, CAP</cp:keywords>
  <dc:description>generated by python-docx</dc:description>
  <cp:lastModifiedBy/>
  <cp:revision>1</cp:revision>
  <dcterms:created xsi:type="dcterms:W3CDTF">2013-12-23T23:15:00Z</dcterms:created>
  <dcterms:modified xsi:type="dcterms:W3CDTF">2013-12-23T23:15:00Z</dcterms:modified>
  <cp:category/>
</cp:coreProperties>
</file>