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220" w:after="40" w:line="228" w:lineRule="auto"/>
      </w:pPr>
      <w:r>
        <w:rPr>
          <w:rFonts w:ascii="DejaVu Sans" w:hAnsi="DejaVu Sans" w:eastAsia="DejaVu Sans"/>
          <w:b/>
          <w:i w:val="0"/>
          <w:color w:val="14364A"/>
          <w:sz w:val="48"/>
        </w:rPr>
        <w:t>SWIM ASSESSMENT</w:t>
      </w:r>
    </w:p>
    <w:p>
      <w:pPr>
        <w:keepNext w:val="0"/>
        <w:widowControl/>
        <w:spacing w:before="0" w:after="180" w:line="228" w:lineRule="auto"/>
      </w:pPr>
      <w:r>
        <w:rPr>
          <w:rFonts w:ascii="DejaVu Sans" w:hAnsi="DejaVu Sans" w:eastAsia="DejaVu Sans"/>
          <w:b/>
          <w:i w:val="0"/>
          <w:color w:val="0D6568"/>
          <w:sz w:val="48"/>
        </w:rPr>
        <w:t>COMPLIANCE BASELINE</w:t>
      </w:r>
    </w:p>
    <w:tbl>
      <w:tblPr>
        <w:tblW w:type="auto" w:w="0"/>
        <w:jc w:val="left"/>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5285"/>
        <w:gridCol w:w="5285"/>
      </w:tblGrid>
      <w:tr>
        <w:trPr>
          <w:cantSplit/>
        </w:trPr>
        <w:tc>
          <w:tcPr>
            <w:tcW w:type="dxa" w:w="151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0D6568"/>
                <w:sz w:val="14"/>
              </w:rPr>
              <w:t>TO</w:t>
            </w:r>
          </w:p>
        </w:tc>
        <w:tc>
          <w:tcPr>
            <w:tcW w:type="dxa" w:w="9000"/>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6"/>
              </w:rPr>
              <w:t>Board of Directors and Bureau of Youth Camp Licensing</w:t>
            </w:r>
          </w:p>
        </w:tc>
      </w:tr>
      <w:tr>
        <w:trPr>
          <w:cantSplit/>
        </w:trPr>
        <w:tc>
          <w:tcPr>
            <w:tcW w:type="dxa" w:w="151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0D6568"/>
                <w:sz w:val="14"/>
              </w:rPr>
              <w:t>FROM</w:t>
            </w:r>
          </w:p>
        </w:tc>
        <w:tc>
          <w:tcPr>
            <w:tcW w:type="dxa" w:w="9000"/>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6"/>
              </w:rPr>
              <w:t>Operations Director</w:t>
            </w:r>
          </w:p>
        </w:tc>
      </w:tr>
      <w:tr>
        <w:trPr>
          <w:cantSplit/>
        </w:trPr>
        <w:tc>
          <w:tcPr>
            <w:tcW w:type="dxa" w:w="151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0D6568"/>
                <w:sz w:val="14"/>
              </w:rPr>
              <w:t>DATE</w:t>
            </w:r>
          </w:p>
        </w:tc>
        <w:tc>
          <w:tcPr>
            <w:tcW w:type="dxa" w:w="9000"/>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24333C"/>
                <w:sz w:val="16"/>
              </w:rPr>
              <w:t>July 1, 2026</w:t>
            </w:r>
          </w:p>
        </w:tc>
      </w:tr>
      <w:tr>
        <w:trPr>
          <w:cantSplit/>
        </w:trPr>
        <w:tc>
          <w:tcPr>
            <w:tcW w:type="dxa" w:w="151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0D6568"/>
                <w:sz w:val="14"/>
              </w:rPr>
              <w:t>SUBJECT</w:t>
            </w:r>
          </w:p>
        </w:tc>
        <w:tc>
          <w:tcPr>
            <w:tcW w:type="dxa" w:w="9000"/>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24333C"/>
                <w:sz w:val="16"/>
              </w:rPr>
              <w:t>Authorization finding, operational overlap, retesting, staffing, and July deadlines</w:t>
            </w:r>
          </w:p>
        </w:tc>
      </w:tr>
    </w:tbl>
    <w:p>
      <w:pPr>
        <w:keepNext w:val="0"/>
        <w:widowControl/>
        <w:spacing w:before="0" w:after="40" w:line="254" w:lineRule="auto"/>
      </w:pPr>
    </w:p>
    <w:tbl>
      <w:tblPr>
        <w:tblW w:type="auto" w:w="0"/>
        <w:jc w:val="center"/>
        <w:tblLayout w:type="fixed"/>
        <w:tblLook w:firstColumn="1" w:firstRow="1" w:lastColumn="0" w:lastRow="0" w:noHBand="0" w:noVBand="1" w:val="04A0"/>
        <w:tblBorders>
          <w:top w:val="single" w:sz="8" w:space="0" w:color="A63B32"/>
          <w:left w:val="single" w:sz="8" w:space="0" w:color="A63B32"/>
          <w:bottom w:val="single" w:sz="8" w:space="0" w:color="A63B32"/>
          <w:right w:val="single" w:sz="8" w:space="0" w:color="A63B32"/>
          <w:insideH w:val="single" w:sz="8" w:space="0" w:color="A63B32"/>
          <w:insideV w:val="single" w:sz="8" w:space="0" w:color="A63B32"/>
        </w:tblBorders>
      </w:tblPr>
      <w:tblGrid>
        <w:gridCol w:w="10570"/>
      </w:tblGrid>
      <w:tr>
        <w:trPr>
          <w:cantSplit/>
        </w:trPr>
        <w:tc>
          <w:tcPr>
            <w:tcW w:type="dxa" w:w="10512"/>
            <w:shd w:fill="F9EDEC"/>
            <w:tcMar>
              <w:top w:w="100" w:type="dxa"/>
              <w:start w:w="130" w:type="dxa"/>
              <w:bottom w:w="100" w:type="dxa"/>
              <w:end w:w="130" w:type="dxa"/>
            </w:tcMar>
          </w:tcPr>
          <w:p>
            <w:pPr>
              <w:keepNext w:val="0"/>
              <w:spacing w:before="0" w:after="0" w:line="254" w:lineRule="auto"/>
            </w:pPr>
            <w:r/>
            <w:r>
              <w:rPr>
                <w:rFonts w:ascii="DejaVu Sans" w:hAnsi="DejaVu Sans" w:eastAsia="DejaVu Sans"/>
                <w:b/>
                <w:i w:val="0"/>
                <w:color w:val="A63B32"/>
                <w:sz w:val="15"/>
              </w:rPr>
              <w:t xml:space="preserve">EXECUTIVE DETERMINATION  </w:t>
            </w:r>
            <w:r>
              <w:rPr>
                <w:rFonts w:ascii="DejaVu Sans" w:hAnsi="DejaVu Sans" w:eastAsia="DejaVu Sans"/>
                <w:b/>
                <w:i w:val="0"/>
                <w:color w:val="24333C"/>
                <w:sz w:val="17"/>
              </w:rPr>
              <w:t>The Bureau case remains a credential-authorization finding, but the evidence does not support describing Corrigwell's operational record as clean or proving zero operational overlap. Primary water, ratio, and incident logs contained material contradictions by July 1, 2026.</w:t>
            </w:r>
          </w:p>
        </w:tc>
      </w:tr>
    </w:tbl>
    <w:p>
      <w:pPr>
        <w:keepNext w:val="0"/>
        <w:widowControl/>
        <w:spacing w:before="0" w:after="40" w:line="254" w:lineRule="auto"/>
      </w:pPr>
    </w:p>
    <w:p>
      <w:pPr>
        <w:keepNext/>
        <w:spacing w:before="100" w:after="100" w:line="240" w:lineRule="auto"/>
        <w:widowControl/>
        <w:pBdr>
          <w:bottom w:val="single" w:sz="14" w:space="4" w:color="168C8C"/>
        </w:pBdr>
      </w:pPr>
      <w:r>
        <w:rPr>
          <w:rFonts w:ascii="DejaVu Sans" w:hAnsi="DejaVu Sans" w:eastAsia="DejaVu Sans"/>
          <w:b/>
          <w:i w:val="0"/>
          <w:color w:val="14364A"/>
          <w:sz w:val="26"/>
        </w:rPr>
        <w:t>BOARD-LEVEL FINDINGS</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Site sweep: Corrigwell was examined and failed authorization; Loon Hollow was examined and cleared. Bluegill Point, Heron Landing, Otter Run, and Tamarack Ridge were never examined and are not passed. The filed sweep dated August 7, 2026 controls those classifications. (Corporate Risk and Compliance/Six-Site Credential Sweep Report 2026.docx)</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Operations through July 1, 2026: 12 active-season low-chlorine readings included 9 without logged action; 4 board-count-based guard shortfalls were all marked compliant; and 19 incidents included 2 rescue assists. (Waterfront Operations/Corrigwell/2026/Corrigwell Water Quality Log 2026.xlsx) (Waterfront Operations/Corrigwell/2026/Corrigwell Ratio Schedule 2026.xlsx) (Waterfront Operations/Corrigwell/2026/Corrigwell Incident and First Aid Log 2026.xlsx)</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Retesting: 785 2026 Corrigwell camper-session assessment obligations are the defensible population basis before August 20, 2026, but the exact unique-camper count and exact band allocation are not supportable because 800 legal roster rows do not reconcile to enrollment. [CORPUS GAP] (Camp Administration/Session Enrollment Summary 2022-2026.xlsx) (Swim Classification Records/Corrigwell/2026/Corrigwell Swim Classification Roster 2026.xlsx)</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Staff authority: the matrix allows LG-WF, WSI, and LGI only when Form ASC-2 is also present. The corpus proves 1 active leader is credential-track and date qualified, but proves 0 active staff hold complete assessment authority because no ASC-2 record exists. (Credential Records/Credential-Track Authorization Matrix.xlsx) (Credential Records/Corrigwell/2026/Corrigwell Lifeguard Certification File 2026.xlsx) (Camp Administration/Aquatics Leadership Org Chart 2026.pptx)</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Deadlines: treat July 2, 2026 as at risk and unproved; July 15, 2026 as feasible, with receipt on July 14, 2026; and July 30, 2026 as feasible for a plan/status response but not for full closure under the CAP's own July 31, 2026 and August 7, 2026 action dates. (Insurance and Claims/Carrier Renewal Questionnaire Cover Letter 2026.pdf) (State Licensing/Youth Camp License Renewal Application 2026.pdf) (Corporate Risk and Compliance/Corrective Action Plan 2026.docx)</w:t>
      </w:r>
    </w:p>
    <w:p>
      <w:pPr>
        <w:keepNext/>
        <w:spacing w:before="100" w:after="100" w:line="240" w:lineRule="auto"/>
        <w:widowControl/>
        <w:pBdr>
          <w:bottom w:val="single" w:sz="14" w:space="4" w:color="168C8C"/>
        </w:pBdr>
      </w:pPr>
      <w:r>
        <w:rPr>
          <w:rFonts w:ascii="DejaVu Sans" w:hAnsi="DejaVu Sans" w:eastAsia="DejaVu Sans"/>
          <w:b/>
          <w:i w:val="0"/>
          <w:color w:val="14364A"/>
          <w:sz w:val="26"/>
        </w:rPr>
        <w:t>MANAGEMENT DIRECTION</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Do not repeat the Scope Isolation Memo's clean-operations statement to the Bureau, Board, carrier, parents, or staff. Preserve the legal distinction: the Bureau has not issued a separate operational finding.</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Reconcile enrollment identities to the legal roster; complete and retain assessor identity, credential code, and Form ASC-2 evidence for each reassessment.</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Open a separate operational-record review for chlorine response/retests, buddy-board ratio calculations, guard-name completeness, Sunday records, and incident follow-up.</w:t>
      </w:r>
    </w:p>
    <w:p>
      <w:pPr>
        <w:widowControl/>
      </w:pPr>
      <w:r>
        <w:br w:type="page"/>
      </w:r>
    </w:p>
    <w:p>
      <w:pPr>
        <w:keepNext/>
        <w:spacing w:before="100" w:after="100" w:line="240" w:lineRule="auto"/>
        <w:widowControl/>
        <w:pBdr>
          <w:bottom w:val="single" w:sz="14" w:space="4" w:color="168C8C"/>
        </w:pBdr>
      </w:pPr>
      <w:r>
        <w:rPr>
          <w:rFonts w:ascii="DejaVu Sans" w:hAnsi="DejaVu Sans" w:eastAsia="DejaVu Sans"/>
          <w:b/>
          <w:i w:val="0"/>
          <w:color w:val="14364A"/>
          <w:sz w:val="26"/>
        </w:rPr>
        <w:t>1. BASELINE, DEFINITION, AND SOURCE CONTROL</w:t>
      </w:r>
    </w:p>
    <w:p>
      <w:pPr>
        <w:keepNext w:val="0"/>
        <w:widowControl/>
        <w:spacing w:before="0" w:after="80" w:line="254" w:lineRule="auto"/>
      </w:pPr>
      <w:r>
        <w:rPr>
          <w:rFonts w:ascii="DejaVu Sans" w:hAnsi="DejaVu Sans" w:eastAsia="DejaVu Sans"/>
          <w:b w:val="0"/>
          <w:i w:val="0"/>
          <w:color w:val="24333C"/>
          <w:sz w:val="18"/>
        </w:rPr>
        <w:t>Baseline protocol. July 1, 2026 is the decision baseline. Records dated after July 1, 2026 are used only where the request expressly requires the August 7, 2026 sweep, July 14, 2026 filing, July 30, 2026 response window, or August 20, 2026 season endpoint. Such evidence is labeled and does not rewrite what was knowable on July 1, 2026.</w:t>
      </w:r>
    </w:p>
    <w:p>
      <w:pPr>
        <w:keepNext w:val="0"/>
        <w:widowControl/>
        <w:spacing w:before="0" w:after="80" w:line="254" w:lineRule="auto"/>
      </w:pPr>
      <w:r>
        <w:rPr>
          <w:rFonts w:ascii="DejaVu Sans" w:hAnsi="DejaVu Sans" w:eastAsia="DejaVu Sans"/>
          <w:b w:val="0"/>
          <w:i w:val="0"/>
          <w:color w:val="24333C"/>
          <w:sz w:val="18"/>
        </w:rPr>
        <w:t>Irregularity definition. An irregularity is either (a) a swim-test sign-off by staff without matrix authority or (b) a primary operational record that contradicts the clean finding in the Scope Isolation Memo. An incident alone is not an irregularity; a log inconsistency, threshold breach, missing required record, or unsupported clean assertion is.</w:t>
      </w:r>
    </w:p>
    <w:tbl>
      <w:tblPr>
        <w:tblW w:type="auto" w:w="0"/>
        <w:jc w:val="center"/>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3523"/>
        <w:gridCol w:w="3523"/>
        <w:gridCol w:w="3523"/>
      </w:tblGrid>
      <w:tr>
        <w:trPr>
          <w:tblHeader w:val="true"/>
          <w:cantSplit/>
        </w:trPr>
        <w:tc>
          <w:tcPr>
            <w:tcW w:type="dxa" w:w="2088"/>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Record class</w:t>
            </w:r>
          </w:p>
        </w:tc>
        <w:tc>
          <w:tcPr>
            <w:tcW w:type="dxa" w:w="3671"/>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Use in this memo</w:t>
            </w:r>
          </w:p>
        </w:tc>
        <w:tc>
          <w:tcPr>
            <w:tcW w:type="dxa" w:w="475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Direct source</w:t>
            </w:r>
          </w:p>
        </w:tc>
      </w:tr>
      <w:tr>
        <w:trPr>
          <w:cantSplit/>
        </w:trPr>
        <w:tc>
          <w:tcPr>
            <w:tcW w:type="dxa" w:w="2088"/>
            <w:shd w:fill="FFFFFF"/>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14364A"/>
                <w:sz w:val="14"/>
              </w:rPr>
              <w:t>Official external filing</w:t>
            </w:r>
          </w:p>
        </w:tc>
        <w:tc>
          <w:tcPr>
            <w:tcW w:type="dxa" w:w="3671"/>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Controls the Bureau's adjudicated finding, filing status, and carrier deadline.</w:t>
            </w:r>
          </w:p>
        </w:tc>
        <w:tc>
          <w:tcPr>
            <w:tcW w:type="dxa" w:w="4752"/>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(State Licensing/State Finding Letter - Corrigwell 2026.pdf) (State Licensing/Youth Camp License Renewal Application 2026.pdf) (Insurance and Claims/Carrier Renewal Questionnaire Cover Letter 2026.pdf)</w:t>
            </w:r>
          </w:p>
        </w:tc>
      </w:tr>
      <w:tr>
        <w:trPr>
          <w:cantSplit/>
        </w:trPr>
        <w:tc>
          <w:tcPr>
            <w:tcW w:type="dxa" w:w="2088"/>
            <w:shd w:fill="F3F5F6"/>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0D6568"/>
                <w:sz w:val="14"/>
              </w:rPr>
              <w:t>Controlling internal rule / filed corporate response</w:t>
            </w:r>
          </w:p>
        </w:tc>
        <w:tc>
          <w:tcPr>
            <w:tcW w:type="dxa" w:w="3671"/>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Controls credential roles and six-site sweep classifications unless an external authority says otherwise.</w:t>
            </w:r>
          </w:p>
        </w:tc>
        <w:tc>
          <w:tcPr>
            <w:tcW w:type="dxa" w:w="4752"/>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(Credential Records/Credential-Track Authorization Matrix.xlsx) (Corporate Risk and Compliance/Six-Site Credential Sweep Report 2026.docx)</w:t>
            </w:r>
          </w:p>
        </w:tc>
      </w:tr>
      <w:tr>
        <w:trPr>
          <w:cantSplit/>
        </w:trPr>
        <w:tc>
          <w:tcPr>
            <w:tcW w:type="dxa" w:w="2088"/>
            <w:shd w:fill="FFFFFF"/>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24333C"/>
                <w:sz w:val="14"/>
              </w:rPr>
              <w:t>Primary operational record</w:t>
            </w:r>
          </w:p>
        </w:tc>
        <w:tc>
          <w:tcPr>
            <w:tcW w:type="dxa" w:w="3671"/>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Controls factual recomputation of water, ratio, and incident performance; it cannot expand the Bureau case without Bureau action.</w:t>
            </w:r>
          </w:p>
        </w:tc>
        <w:tc>
          <w:tcPr>
            <w:tcW w:type="dxa" w:w="4752"/>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(Waterfront Operations/Corrigwell/2026/Corrigwell Water Quality Log 2026.xlsx) (Waterfront Operations/Corrigwell/2026/Corrigwell Ratio Schedule 2026.xlsx) (Waterfront Operations/Corrigwell/2026/Corrigwell Incident and First Aid Log 2026.xlsx)</w:t>
            </w:r>
          </w:p>
        </w:tc>
      </w:tr>
      <w:tr>
        <w:trPr>
          <w:cantSplit/>
        </w:trPr>
        <w:tc>
          <w:tcPr>
            <w:tcW w:type="dxa" w:w="2088"/>
            <w:shd w:fill="F3F5F6"/>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C7632E"/>
                <w:sz w:val="14"/>
              </w:rPr>
              <w:t>Working material</w:t>
            </w:r>
          </w:p>
        </w:tc>
        <w:tc>
          <w:tcPr>
            <w:tcW w:type="dxa" w:w="3671"/>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May explain activity but does not override signed filings, the controlling matrix, or primary logs.</w:t>
            </w:r>
          </w:p>
        </w:tc>
        <w:tc>
          <w:tcPr>
            <w:tcW w:type="dxa" w:w="4752"/>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(Corporate Risk and Compliance/open items from safety plan review.md) (Corporate Risk and Compliance/deadline reconciliation notes.md) (Waterfront Operations/buddy board count notes.txt)</w:t>
            </w:r>
          </w:p>
        </w:tc>
      </w:tr>
    </w:tbl>
    <w:p>
      <w:pPr>
        <w:keepNext w:val="0"/>
        <w:widowControl/>
        <w:spacing w:before="60" w:after="140" w:line="240" w:lineRule="auto"/>
      </w:pPr>
      <w:r>
        <w:rPr>
          <w:rFonts w:ascii="DejaVu Sans" w:hAnsi="DejaVu Sans" w:eastAsia="DejaVu Sans"/>
          <w:b/>
          <w:i w:val="0"/>
          <w:color w:val="0D6568"/>
          <w:sz w:val="14"/>
        </w:rPr>
        <w:t xml:space="preserve">Table 1. Source hierarchy used to resolve conflicting records. </w:t>
      </w:r>
      <w:r>
        <w:rPr>
          <w:rFonts w:ascii="DejaVu Sans" w:hAnsi="DejaVu Sans" w:eastAsia="DejaVu Sans"/>
          <w:b w:val="0"/>
          <w:i/>
          <w:color w:val="5E6A70"/>
          <w:sz w:val="14"/>
        </w:rPr>
        <w:t>Source: row-level files cited above; baseline July 1, 2026</w:t>
      </w:r>
    </w:p>
    <w:tbl>
      <w:tblPr>
        <w:tblW w:type="auto" w:w="0"/>
        <w:jc w:val="center"/>
        <w:tblLayout w:type="fixed"/>
        <w:tblLook w:firstColumn="1" w:firstRow="1" w:lastColumn="0" w:lastRow="0" w:noHBand="0" w:noVBand="1" w:val="04A0"/>
        <w:tblBorders>
          <w:top w:val="single" w:sz="8" w:space="0" w:color="C7632E"/>
          <w:left w:val="single" w:sz="8" w:space="0" w:color="C7632E"/>
          <w:bottom w:val="single" w:sz="8" w:space="0" w:color="C7632E"/>
          <w:right w:val="single" w:sz="8" w:space="0" w:color="C7632E"/>
          <w:insideH w:val="single" w:sz="8" w:space="0" w:color="C7632E"/>
          <w:insideV w:val="single" w:sz="8" w:space="0" w:color="C7632E"/>
        </w:tblBorders>
      </w:tblPr>
      <w:tblGrid>
        <w:gridCol w:w="10570"/>
      </w:tblGrid>
      <w:tr>
        <w:trPr>
          <w:cantSplit/>
        </w:trPr>
        <w:tc>
          <w:tcPr>
            <w:tcW w:type="dxa" w:w="10512"/>
            <w:shd w:fill="FBF0E8"/>
            <w:tcMar>
              <w:top w:w="100" w:type="dxa"/>
              <w:start w:w="130" w:type="dxa"/>
              <w:bottom w:w="100" w:type="dxa"/>
              <w:end w:w="130" w:type="dxa"/>
            </w:tcMar>
          </w:tcPr>
          <w:p>
            <w:pPr>
              <w:keepNext w:val="0"/>
              <w:spacing w:before="0" w:after="0" w:line="254" w:lineRule="auto"/>
            </w:pPr>
            <w:r/>
            <w:r>
              <w:rPr>
                <w:rFonts w:ascii="DejaVu Sans" w:hAnsi="DejaVu Sans" w:eastAsia="DejaVu Sans"/>
                <w:b/>
                <w:i w:val="0"/>
                <w:color w:val="C7632E"/>
                <w:sz w:val="15"/>
              </w:rPr>
              <w:t xml:space="preserve">CONFLICT RESOLUTION  </w:t>
            </w:r>
            <w:r>
              <w:rPr>
                <w:rFonts w:ascii="DejaVu Sans" w:hAnsi="DejaVu Sans" w:eastAsia="DejaVu Sans"/>
                <w:b/>
                <w:i w:val="0"/>
                <w:color w:val="24333C"/>
                <w:sz w:val="17"/>
              </w:rPr>
              <w:t>The State Finding Letter controls the formal case scope: credential authorization only. The primary logs control whether the Scope Isolation Memo's factual claim of a clean operational record is supported. They do not support it.</w:t>
            </w:r>
          </w:p>
        </w:tc>
      </w:tr>
    </w:tbl>
    <w:p>
      <w:pPr>
        <w:keepNext w:val="0"/>
        <w:widowControl/>
        <w:spacing w:before="0" w:after="40" w:line="254" w:lineRule="auto"/>
      </w:pPr>
    </w:p>
    <w:p>
      <w:pPr>
        <w:keepNext/>
        <w:widowControl/>
        <w:spacing w:before="100" w:after="60" w:line="240" w:lineRule="auto"/>
      </w:pPr>
      <w:r>
        <w:rPr>
          <w:rFonts w:ascii="DejaVu Sans" w:hAnsi="DejaVu Sans" w:eastAsia="DejaVu Sans"/>
          <w:b/>
          <w:i w:val="0"/>
          <w:color w:val="0D6568"/>
          <w:sz w:val="20"/>
        </w:rPr>
        <w:t>Known Corpus Limits</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[CORPUS GAP] No Corrigwell operational logs for 2022-2024 are present, although the Scope Isolation Memo describes a 2022-2026 review; its records-reviewed section names only 2025 and 2026. (Corporate Risk and Compliance/Scope Isolation Memo 2026.docx)</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[CORPUS GAP] No sibling-site certification files or Forms ASC-2 are present, and no 2026 swim rosters are present for Heron Landing or Tamarack Ridge. (Credential Records/Credential-Track Authorization Matrix.xlsx) (Corporate Risk and Compliance/Six-Site Credential Sweep Report 2026.docx)</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[CORPUS GAP] No named active-enrollment list, completed authorized-assessor reassessment roster, Bureau CAP closure notice, complete July 2 carrier packet, or written extension is present.</w:t>
      </w:r>
    </w:p>
    <w:p>
      <w:pPr>
        <w:widowControl/>
      </w:pPr>
      <w:r>
        <w:br w:type="page"/>
      </w:r>
    </w:p>
    <w:p>
      <w:pPr>
        <w:keepNext/>
        <w:spacing w:before="100" w:after="100" w:line="240" w:lineRule="auto"/>
        <w:widowControl/>
        <w:pBdr>
          <w:bottom w:val="single" w:sz="14" w:space="4" w:color="168C8C"/>
        </w:pBdr>
      </w:pPr>
      <w:r>
        <w:rPr>
          <w:rFonts w:ascii="DejaVu Sans" w:hAnsi="DejaVu Sans" w:eastAsia="DejaVu Sans"/>
          <w:b/>
          <w:i w:val="0"/>
          <w:color w:val="14364A"/>
          <w:sz w:val="26"/>
        </w:rPr>
        <w:t>2. SIX-SITE CREDENTIAL SWEEP</w:t>
      </w:r>
    </w:p>
    <w:p>
      <w:pPr>
        <w:keepNext w:val="0"/>
        <w:widowControl/>
        <w:spacing w:before="0" w:after="80" w:line="254" w:lineRule="auto"/>
      </w:pPr>
      <w:r>
        <w:rPr>
          <w:rFonts w:ascii="DejaVu Sans" w:hAnsi="DejaVu Sans" w:eastAsia="DejaVu Sans"/>
          <w:b w:val="0"/>
          <w:i w:val="0"/>
          <w:color w:val="24333C"/>
          <w:sz w:val="18"/>
        </w:rPr>
        <w:t>The operative corporate filing is the August 7, 2026 WF4 sweep report because it identifies its disposition to the Bureau response docket and underwriting file. It records only Corrigwell and Loon Hollow as examined. Internal facility-inspection history and staffing descriptions do not convert a site into a credential pass. Official facility inspections are shown separately because they test a different question.</w:t>
      </w:r>
    </w:p>
    <w:tbl>
      <w:tblPr>
        <w:tblW w:type="auto" w:w="0"/>
        <w:jc w:val="center"/>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2114"/>
        <w:gridCol w:w="2114"/>
        <w:gridCol w:w="2114"/>
        <w:gridCol w:w="2114"/>
        <w:gridCol w:w="2114"/>
      </w:tblGrid>
      <w:tr>
        <w:trPr>
          <w:tblHeader w:val="true"/>
          <w:cantSplit/>
        </w:trPr>
        <w:tc>
          <w:tcPr>
            <w:tcW w:type="dxa" w:w="1655"/>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Class / site</w:t>
            </w:r>
          </w:p>
        </w:tc>
        <w:tc>
          <w:tcPr>
            <w:tcW w:type="dxa" w:w="187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Inspection status</w:t>
            </w:r>
          </w:p>
        </w:tc>
        <w:tc>
          <w:tcPr>
            <w:tcW w:type="dxa" w:w="2520"/>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Available swim-test evidence</w:t>
            </w:r>
          </w:p>
        </w:tc>
        <w:tc>
          <w:tcPr>
            <w:tcW w:type="dxa" w:w="1944"/>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Authorization conclusion</w:t>
            </w:r>
          </w:p>
        </w:tc>
        <w:tc>
          <w:tcPr>
            <w:tcW w:type="dxa" w:w="2520"/>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Direct source</w:t>
            </w:r>
          </w:p>
        </w:tc>
      </w:tr>
      <w:tr>
        <w:trPr>
          <w:cantSplit/>
        </w:trPr>
        <w:tc>
          <w:tcPr>
            <w:tcW w:type="dxa" w:w="1655"/>
            <w:shd w:fill="F9EDEC"/>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A63B32"/>
                <w:sz w:val="12"/>
              </w:rPr>
              <w:t>EXAMINED - NOT PASSED</w:t>
            </w:r>
          </w:p>
          <w:p>
            <w:pPr>
              <w:keepNext w:val="0"/>
              <w:spacing w:before="0" w:after="0" w:line="240" w:lineRule="auto"/>
            </w:pPr>
            <w:r>
              <w:rPr>
                <w:rFonts w:ascii="DejaVu Sans" w:hAnsi="DejaVu Sans" w:eastAsia="DejaVu Sans"/>
                <w:b/>
                <w:i w:val="0"/>
                <w:color w:val="14364A"/>
                <w:sz w:val="12"/>
              </w:rPr>
              <w:t>Corrigwell</w:t>
            </w:r>
          </w:p>
        </w:tc>
        <w:tc>
          <w:tcPr>
            <w:tcW w:type="dxa" w:w="1872"/>
            <w:shd w:fill="F9EDEC"/>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A63B32"/>
                <w:sz w:val="12"/>
              </w:rPr>
              <w:t>Credential sweep: unauthorized-and-examined.</w:t>
            </w:r>
          </w:p>
          <w:p>
            <w:pPr>
              <w:keepNext w:val="0"/>
              <w:spacing w:before="0" w:after="0" w:line="240" w:lineRule="auto"/>
            </w:pPr>
            <w:r>
              <w:rPr>
                <w:rFonts w:ascii="DejaVu Sans" w:hAnsi="DejaVu Sans" w:eastAsia="DejaVu Sans"/>
                <w:b w:val="0"/>
                <w:i w:val="0"/>
                <w:color w:val="24333C"/>
                <w:sz w:val="12"/>
              </w:rPr>
              <w:t>Official 2026 facility report: operational inspection present; separate from credential clearance.</w:t>
            </w:r>
          </w:p>
        </w:tc>
        <w:tc>
          <w:tcPr>
            <w:tcW w:type="dxa" w:w="2520"/>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AQS signed the 2022-2026 legal records; matrix authority is No. The 2026 roster contains 800: 173 nonswimmer, 255 beginner, 372 swimmer.</w:t>
            </w:r>
          </w:p>
        </w:tc>
        <w:tc>
          <w:tcPr>
            <w:tcW w:type="dxa" w:w="1944"/>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Irregularity established: unauthorized sign-off. Operational-log contradictions are addressed in Section 3.</w:t>
            </w:r>
          </w:p>
        </w:tc>
        <w:tc>
          <w:tcPr>
            <w:tcW w:type="dxa" w:w="2520"/>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(State Licensing/State Finding Letter - Corrigwell 2026.pdf) (Corporate Risk and Compliance/Six-Site Credential Sweep Report 2026.docx) (Credential Records/Credential-Track Authorization Matrix.xlsx) (Swim Classification Records/Corrigwell/2026/Corrigwell Swim Classification Roster 2026.xlsx) (State Licensing/Facility Inspection Report - Corrigwell 2026.pdf)</w:t>
            </w:r>
          </w:p>
        </w:tc>
      </w:tr>
      <w:tr>
        <w:trPr>
          <w:cantSplit/>
        </w:trPr>
        <w:tc>
          <w:tcPr>
            <w:tcW w:type="dxa" w:w="1655"/>
            <w:shd w:fill="EAF3EC"/>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397353"/>
                <w:sz w:val="12"/>
              </w:rPr>
              <w:t>EXAMINED - PASSED</w:t>
            </w:r>
          </w:p>
          <w:p>
            <w:pPr>
              <w:keepNext w:val="0"/>
              <w:spacing w:before="0" w:after="0" w:line="240" w:lineRule="auto"/>
            </w:pPr>
            <w:r>
              <w:rPr>
                <w:rFonts w:ascii="DejaVu Sans" w:hAnsi="DejaVu Sans" w:eastAsia="DejaVu Sans"/>
                <w:b/>
                <w:i w:val="0"/>
                <w:color w:val="14364A"/>
                <w:sz w:val="12"/>
              </w:rPr>
              <w:t>Loon Hollow</w:t>
            </w:r>
          </w:p>
        </w:tc>
        <w:tc>
          <w:tcPr>
            <w:tcW w:type="dxa" w:w="1872"/>
            <w:shd w:fill="EAF3EC"/>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397353"/>
                <w:sz w:val="12"/>
              </w:rPr>
              <w:t>Credential sweep: cleared.</w:t>
            </w:r>
          </w:p>
          <w:p>
            <w:pPr>
              <w:keepNext w:val="0"/>
              <w:spacing w:before="0" w:after="0" w:line="240" w:lineRule="auto"/>
            </w:pPr>
            <w:r>
              <w:rPr>
                <w:rFonts w:ascii="DejaVu Sans" w:hAnsi="DejaVu Sans" w:eastAsia="DejaVu Sans"/>
                <w:b w:val="0"/>
                <w:i w:val="0"/>
                <w:color w:val="24333C"/>
                <w:sz w:val="12"/>
              </w:rPr>
              <w:t>No official 2026 facility report is present in the corpus.</w:t>
            </w:r>
          </w:p>
        </w:tc>
        <w:tc>
          <w:tcPr>
            <w:tcW w:type="dxa" w:w="252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WSI signer; matrix authority is Yes, subject to ASC-2. Roster contains 210: 47 nonswimmer, 75 beginner, 88 swimmer. The filed sweep resolves the missing standalone ASC-2 evidence in favor of clearance.</w:t>
            </w:r>
          </w:p>
        </w:tc>
        <w:tc>
          <w:tcPr>
            <w:tcW w:type="dxa" w:w="1944"/>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No defined irregularity found in the filed examination.</w:t>
            </w:r>
          </w:p>
        </w:tc>
        <w:tc>
          <w:tcPr>
            <w:tcW w:type="dxa" w:w="252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(Corporate Risk and Compliance/Six-Site Credential Sweep Report 2026.docx) (Credential Records/Credential-Track Authorization Matrix.xlsx) (Sibling Camp Files/Loon Hollow/Loon Hollow 2026 Swim Classification Roster.xlsx) (Corporate Risk and Compliance/Six-Site Inspection History.xlsx)</w:t>
            </w:r>
          </w:p>
        </w:tc>
      </w:tr>
      <w:tr>
        <w:trPr>
          <w:cantSplit/>
        </w:trPr>
        <w:tc>
          <w:tcPr>
            <w:tcW w:type="dxa" w:w="1655"/>
            <w:shd w:fill="FBF0E8"/>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C7632E"/>
                <w:sz w:val="12"/>
              </w:rPr>
              <w:t>NEVER EXAMINED - NOT PASSED</w:t>
            </w:r>
          </w:p>
          <w:p>
            <w:pPr>
              <w:keepNext w:val="0"/>
              <w:spacing w:before="0" w:after="0" w:line="240" w:lineRule="auto"/>
            </w:pPr>
            <w:r>
              <w:rPr>
                <w:rFonts w:ascii="DejaVu Sans" w:hAnsi="DejaVu Sans" w:eastAsia="DejaVu Sans"/>
                <w:b/>
                <w:i w:val="0"/>
                <w:color w:val="14364A"/>
                <w:sz w:val="12"/>
              </w:rPr>
              <w:t>Bluegill Point</w:t>
            </w:r>
          </w:p>
        </w:tc>
        <w:tc>
          <w:tcPr>
            <w:tcW w:type="dxa" w:w="1872"/>
            <w:shd w:fill="FBF0E8"/>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C7632E"/>
                <w:sz w:val="12"/>
              </w:rPr>
              <w:t>Credential sweep: never-examined.</w:t>
            </w:r>
          </w:p>
          <w:p>
            <w:pPr>
              <w:keepNext w:val="0"/>
              <w:spacing w:before="0" w:after="0" w:line="240" w:lineRule="auto"/>
            </w:pPr>
            <w:r>
              <w:rPr>
                <w:rFonts w:ascii="DejaVu Sans" w:hAnsi="DejaVu Sans" w:eastAsia="DejaVu Sans"/>
                <w:b w:val="0"/>
                <w:i w:val="0"/>
                <w:color w:val="24333C"/>
                <w:sz w:val="12"/>
              </w:rPr>
              <w:t>No official 2026 facility report is present in the corpus.</w:t>
            </w:r>
          </w:p>
        </w:tc>
        <w:tc>
          <w:tcPr>
            <w:tcW w:type="dxa" w:w="252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LG-WF appears facially authorized. Roster contains 180: 33 nonswimmer, 64 beginner, 83 swimmer. Missing site credential file and ASC-2 prevent independent authorization proof.</w:t>
            </w:r>
          </w:p>
        </w:tc>
        <w:tc>
          <w:tcPr>
            <w:tcW w:type="dxa" w:w="194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No unauthorized sign-off established; authorization remains unverified. [CORPUS GAP]</w:t>
            </w:r>
          </w:p>
        </w:tc>
        <w:tc>
          <w:tcPr>
            <w:tcW w:type="dxa" w:w="252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(Corporate Risk and Compliance/Six-Site Credential Sweep Report 2026.docx) (Credential Records/Credential-Track Authorization Matrix.xlsx) (Sibling Camp Files/Bluegill Point/Bluegill Point 2026 Swim Classification Roster.csv) (Corporate Risk and Compliance/Six-Site Inspection History.xlsx)</w:t>
            </w:r>
          </w:p>
        </w:tc>
      </w:tr>
      <w:tr>
        <w:trPr>
          <w:cantSplit/>
        </w:trPr>
        <w:tc>
          <w:tcPr>
            <w:tcW w:type="dxa" w:w="1655"/>
            <w:shd w:fill="FBF0E8"/>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C7632E"/>
                <w:sz w:val="12"/>
              </w:rPr>
              <w:t>NEVER EXAMINED - NOT PASSED</w:t>
            </w:r>
          </w:p>
          <w:p>
            <w:pPr>
              <w:keepNext w:val="0"/>
              <w:spacing w:before="0" w:after="0" w:line="240" w:lineRule="auto"/>
            </w:pPr>
            <w:r>
              <w:rPr>
                <w:rFonts w:ascii="DejaVu Sans" w:hAnsi="DejaVu Sans" w:eastAsia="DejaVu Sans"/>
                <w:b/>
                <w:i w:val="0"/>
                <w:color w:val="14364A"/>
                <w:sz w:val="12"/>
              </w:rPr>
              <w:t>Heron Landing</w:t>
            </w:r>
          </w:p>
        </w:tc>
        <w:tc>
          <w:tcPr>
            <w:tcW w:type="dxa" w:w="1872"/>
            <w:shd w:fill="FBF0E8"/>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C7632E"/>
                <w:sz w:val="12"/>
              </w:rPr>
              <w:t>Credential sweep: never-examined.</w:t>
            </w:r>
          </w:p>
          <w:p>
            <w:pPr>
              <w:keepNext w:val="0"/>
              <w:spacing w:before="0" w:after="0" w:line="240" w:lineRule="auto"/>
            </w:pPr>
            <w:r>
              <w:rPr>
                <w:rFonts w:ascii="DejaVu Sans" w:hAnsi="DejaVu Sans" w:eastAsia="DejaVu Sans"/>
                <w:b w:val="0"/>
                <w:i w:val="0"/>
                <w:color w:val="24333C"/>
                <w:sz w:val="12"/>
              </w:rPr>
              <w:t>No official 2026 facility report is present in the corpus.</w:t>
            </w:r>
          </w:p>
        </w:tc>
        <w:tc>
          <w:tcPr>
            <w:tcW w:type="dxa" w:w="252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No 2026 roster or site credential file is present. The secondary continuity trace names LGI, a qualifying code, but its cited source roster is absent.</w:t>
            </w:r>
          </w:p>
        </w:tc>
        <w:tc>
          <w:tcPr>
            <w:tcW w:type="dxa" w:w="194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Authorization result unknown; not passed. [CORPUS GAP]</w:t>
            </w:r>
          </w:p>
        </w:tc>
        <w:tc>
          <w:tcPr>
            <w:tcW w:type="dxa" w:w="252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(Corporate Risk and Compliance/Six-Site Credential Sweep Report 2026.docx) (Corporate Risk and Compliance/Authorization Continuity Trace 2019-2026.xlsx) (Credential Records/Credential-Track Authorization Matrix.xlsx)</w:t>
            </w:r>
          </w:p>
        </w:tc>
      </w:tr>
      <w:tr>
        <w:trPr>
          <w:cantSplit/>
        </w:trPr>
        <w:tc>
          <w:tcPr>
            <w:tcW w:type="dxa" w:w="1655"/>
            <w:shd w:fill="FBF0E8"/>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C7632E"/>
                <w:sz w:val="12"/>
              </w:rPr>
              <w:t>NEVER EXAMINED - NOT PASSED</w:t>
            </w:r>
          </w:p>
          <w:p>
            <w:pPr>
              <w:keepNext w:val="0"/>
              <w:spacing w:before="0" w:after="0" w:line="240" w:lineRule="auto"/>
            </w:pPr>
            <w:r>
              <w:rPr>
                <w:rFonts w:ascii="DejaVu Sans" w:hAnsi="DejaVu Sans" w:eastAsia="DejaVu Sans"/>
                <w:b/>
                <w:i w:val="0"/>
                <w:color w:val="14364A"/>
                <w:sz w:val="12"/>
              </w:rPr>
              <w:t>Otter Run</w:t>
            </w:r>
          </w:p>
        </w:tc>
        <w:tc>
          <w:tcPr>
            <w:tcW w:type="dxa" w:w="1872"/>
            <w:shd w:fill="FBF0E8"/>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C7632E"/>
                <w:sz w:val="12"/>
              </w:rPr>
              <w:t>Credential sweep: never-examined.</w:t>
            </w:r>
          </w:p>
          <w:p>
            <w:pPr>
              <w:keepNext w:val="0"/>
              <w:spacing w:before="0" w:after="0" w:line="240" w:lineRule="auto"/>
            </w:pPr>
            <w:r>
              <w:rPr>
                <w:rFonts w:ascii="DejaVu Sans" w:hAnsi="DejaVu Sans" w:eastAsia="DejaVu Sans"/>
                <w:b w:val="0"/>
                <w:i w:val="0"/>
                <w:color w:val="24333C"/>
                <w:sz w:val="12"/>
              </w:rPr>
              <w:t>No official 2026 facility report is present in the corpus.</w:t>
            </w:r>
          </w:p>
        </w:tc>
        <w:tc>
          <w:tcPr>
            <w:tcW w:type="dxa" w:w="252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WSI appears facially authorized. Roster contains 150: 27 nonswimmer, 58 beginner, 65 swimmer. Missing site credential file and ASC-2 prevent independent authorization proof.</w:t>
            </w:r>
          </w:p>
        </w:tc>
        <w:tc>
          <w:tcPr>
            <w:tcW w:type="dxa" w:w="194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No unauthorized sign-off established; authorization remains unverified. [CORPUS GAP]</w:t>
            </w:r>
          </w:p>
        </w:tc>
        <w:tc>
          <w:tcPr>
            <w:tcW w:type="dxa" w:w="252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(Corporate Risk and Compliance/Six-Site Credential Sweep Report 2026.docx) (Credential Records/Credential-Track Authorization Matrix.xlsx) (Sibling Camp Files/Otter Run/Otter Run 2026 Swim Classification Roster.xlsx) (Corporate Risk and Compliance/Six-Site Inspection History.xlsx)</w:t>
            </w:r>
          </w:p>
        </w:tc>
      </w:tr>
      <w:tr>
        <w:trPr>
          <w:cantSplit/>
        </w:trPr>
        <w:tc>
          <w:tcPr>
            <w:tcW w:type="dxa" w:w="1655"/>
            <w:shd w:fill="FBF0E8"/>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C7632E"/>
                <w:sz w:val="12"/>
              </w:rPr>
              <w:t>NEVER EXAMINED - NOT PASSED</w:t>
            </w:r>
          </w:p>
          <w:p>
            <w:pPr>
              <w:keepNext w:val="0"/>
              <w:spacing w:before="0" w:after="0" w:line="240" w:lineRule="auto"/>
            </w:pPr>
            <w:r>
              <w:rPr>
                <w:rFonts w:ascii="DejaVu Sans" w:hAnsi="DejaVu Sans" w:eastAsia="DejaVu Sans"/>
                <w:b/>
                <w:i w:val="0"/>
                <w:color w:val="14364A"/>
                <w:sz w:val="12"/>
              </w:rPr>
              <w:t>Tamarack Ridge</w:t>
            </w:r>
          </w:p>
        </w:tc>
        <w:tc>
          <w:tcPr>
            <w:tcW w:type="dxa" w:w="1872"/>
            <w:shd w:fill="FBF0E8"/>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C7632E"/>
                <w:sz w:val="12"/>
              </w:rPr>
              <w:t>Credential sweep: never-examined.</w:t>
            </w:r>
          </w:p>
          <w:p>
            <w:pPr>
              <w:keepNext w:val="0"/>
              <w:spacing w:before="0" w:after="0" w:line="240" w:lineRule="auto"/>
            </w:pPr>
            <w:r>
              <w:rPr>
                <w:rFonts w:ascii="DejaVu Sans" w:hAnsi="DejaVu Sans" w:eastAsia="DejaVu Sans"/>
                <w:b w:val="0"/>
                <w:i w:val="0"/>
                <w:color w:val="24333C"/>
                <w:sz w:val="12"/>
              </w:rPr>
              <w:t>Official 2025 facility report is present; no official 2026 report is present.</w:t>
            </w:r>
          </w:p>
        </w:tc>
        <w:tc>
          <w:tcPr>
            <w:tcW w:type="dxa" w:w="252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No 2026 roster or site credential file is present. The secondary continuity trace names WSI, a qualifying code, but its cited source roster is absent.</w:t>
            </w:r>
          </w:p>
        </w:tc>
        <w:tc>
          <w:tcPr>
            <w:tcW w:type="dxa" w:w="194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Authorization result unknown; not passed. [CORPUS GAP]</w:t>
            </w:r>
          </w:p>
        </w:tc>
        <w:tc>
          <w:tcPr>
            <w:tcW w:type="dxa" w:w="252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(Corporate Risk and Compliance/Six-Site Credential Sweep Report 2026.docx) (Corporate Risk and Compliance/Authorization Continuity Trace 2019-2026.xlsx) (Credential Records/Credential-Track Authorization Matrix.xlsx) (Sibling Camp Files/Tamarack Ridge/Tamarack Ridge Facility Inspection Report 2025.pdf)</w:t>
            </w:r>
          </w:p>
        </w:tc>
      </w:tr>
    </w:tbl>
    <w:p>
      <w:pPr>
        <w:keepNext w:val="0"/>
        <w:widowControl/>
        <w:spacing w:before="60" w:after="140" w:line="240" w:lineRule="auto"/>
      </w:pPr>
      <w:r>
        <w:rPr>
          <w:rFonts w:ascii="DejaVu Sans" w:hAnsi="DejaVu Sans" w:eastAsia="DejaVu Sans"/>
          <w:b/>
          <w:i w:val="0"/>
          <w:color w:val="0D6568"/>
          <w:sz w:val="14"/>
        </w:rPr>
        <w:t xml:space="preserve">Table 2. Credential-sweep status, swim-test evidence, and separate facility-inspection record. </w:t>
      </w:r>
      <w:r>
        <w:rPr>
          <w:rFonts w:ascii="DejaVu Sans" w:hAnsi="DejaVu Sans" w:eastAsia="DejaVu Sans"/>
          <w:b w:val="0"/>
          <w:i/>
          <w:color w:val="5E6A70"/>
          <w:sz w:val="14"/>
        </w:rPr>
        <w:t>Source: row-level files cited; WF4 filed sweep dated August 7, 2026</w:t>
      </w:r>
    </w:p>
    <w:p>
      <w:pPr>
        <w:keepNext/>
        <w:widowControl/>
        <w:spacing w:before="100" w:after="60" w:line="240" w:lineRule="auto"/>
      </w:pPr>
      <w:r>
        <w:rPr>
          <w:rFonts w:ascii="DejaVu Sans" w:hAnsi="DejaVu Sans" w:eastAsia="DejaVu Sans"/>
          <w:b/>
          <w:i w:val="0"/>
          <w:color w:val="0D6568"/>
          <w:sz w:val="20"/>
        </w:rPr>
        <w:t>Official Filings vs. Internal Working Records</w:t>
      </w:r>
    </w:p>
    <w:p>
      <w:pPr>
        <w:keepNext w:val="0"/>
        <w:widowControl/>
        <w:spacing w:before="0" w:after="80" w:line="254" w:lineRule="auto"/>
      </w:pPr>
      <w:r>
        <w:rPr>
          <w:rFonts w:ascii="DejaVu Sans" w:hAnsi="DejaVu Sans" w:eastAsia="DejaVu Sans"/>
          <w:b w:val="0"/>
          <w:i w:val="0"/>
          <w:color w:val="24333C"/>
          <w:sz w:val="17"/>
        </w:rPr>
        <w:t>Signed Bureau letters and facility reports are official external records. The WF4 sweep is the operative corporate filing. The matrix identifies itself as the controlling copy. Six-Site Inspection History.xlsx is an internal compilation and conflicts with comparable signed reports; it cannot establish a credential pass. The file open items from safety plan review.md is expressly working material and is not used to override final records.</w:t>
      </w:r>
    </w:p>
    <w:p>
      <w:pPr>
        <w:widowControl/>
      </w:pPr>
      <w:r>
        <w:br w:type="page"/>
      </w:r>
    </w:p>
    <w:p>
      <w:pPr>
        <w:keepNext/>
        <w:spacing w:before="100" w:after="100" w:line="240" w:lineRule="auto"/>
        <w:widowControl/>
        <w:pBdr>
          <w:bottom w:val="single" w:sz="14" w:space="4" w:color="168C8C"/>
        </w:pBdr>
      </w:pPr>
      <w:r>
        <w:rPr>
          <w:rFonts w:ascii="DejaVu Sans" w:hAnsi="DejaVu Sans" w:eastAsia="DejaVu Sans"/>
          <w:b/>
          <w:i w:val="0"/>
          <w:color w:val="14364A"/>
          <w:sz w:val="26"/>
        </w:rPr>
        <w:t>3. OPERATIONAL CROSS-EXAMINATION</w:t>
      </w:r>
    </w:p>
    <w:p>
      <w:pPr>
        <w:keepNext w:val="0"/>
        <w:widowControl/>
        <w:spacing w:before="0" w:after="80" w:line="254" w:lineRule="auto"/>
      </w:pPr>
      <w:r>
        <w:rPr>
          <w:rFonts w:ascii="DejaVu Sans" w:hAnsi="DejaVu Sans" w:eastAsia="DejaVu Sans"/>
          <w:b w:val="0"/>
          <w:i w:val="0"/>
          <w:color w:val="24333C"/>
          <w:sz w:val="18"/>
        </w:rPr>
        <w:t>The affected operational location is Corrigwell. The Bureau's State Finding Letter remains credential-only and records no adverse operational finding. That formal disposition governs the case. The separate factual question is whether the Scope Isolation Memo's clean-operations assertion is supported by the primary records available by July 1, 2026. It is not.</w:t>
      </w:r>
    </w:p>
    <w:tbl>
      <w:tblPr>
        <w:tblW w:type="auto" w:w="0"/>
        <w:jc w:val="center"/>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2114"/>
        <w:gridCol w:w="2114"/>
        <w:gridCol w:w="2114"/>
        <w:gridCol w:w="2114"/>
        <w:gridCol w:w="2114"/>
      </w:tblGrid>
      <w:tr>
        <w:trPr>
          <w:tblHeader w:val="true"/>
          <w:cantSplit/>
        </w:trPr>
        <w:tc>
          <w:tcPr>
            <w:tcW w:type="dxa" w:w="1440"/>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Record</w:t>
            </w:r>
          </w:p>
        </w:tc>
        <w:tc>
          <w:tcPr>
            <w:tcW w:type="dxa" w:w="223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Coverage and arithmetic</w:t>
            </w:r>
          </w:p>
        </w:tc>
        <w:tc>
          <w:tcPr>
            <w:tcW w:type="dxa" w:w="2664"/>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Irregularity found</w:t>
            </w:r>
          </w:p>
        </w:tc>
        <w:tc>
          <w:tcPr>
            <w:tcW w:type="dxa" w:w="1800"/>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Conclusion</w:t>
            </w:r>
          </w:p>
        </w:tc>
        <w:tc>
          <w:tcPr>
            <w:tcW w:type="dxa" w:w="2376"/>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Direct source</w:t>
            </w:r>
          </w:p>
        </w:tc>
      </w:tr>
      <w:tr>
        <w:trPr>
          <w:cantSplit/>
        </w:trPr>
        <w:tc>
          <w:tcPr>
            <w:tcW w:type="dxa" w:w="1440"/>
            <w:shd w:fill="EAF3F5"/>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14364A"/>
                <w:sz w:val="13"/>
              </w:rPr>
              <w:t>Water quality</w:t>
            </w:r>
          </w:p>
          <w:p>
            <w:pPr>
              <w:keepNext w:val="0"/>
              <w:spacing w:before="0" w:after="0" w:line="240" w:lineRule="auto"/>
            </w:pPr>
            <w:r>
              <w:rPr>
                <w:rFonts w:ascii="DejaVu Sans" w:hAnsi="DejaVu Sans" w:eastAsia="DejaVu Sans"/>
                <w:b w:val="0"/>
                <w:i w:val="0"/>
                <w:color w:val="5E6A70"/>
                <w:sz w:val="13"/>
              </w:rPr>
              <w:t>Through July 1, 2026</w:t>
            </w:r>
          </w:p>
        </w:tc>
        <w:tc>
          <w:tcPr>
            <w:tcW w:type="dxa" w:w="223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Full log span: 63 tests recorded vs. 72 expected (9 missing). Conservative active-season span, June 22-July 1: 27 vs. 30 (3 missing on June 28).</w:t>
            </w:r>
          </w:p>
        </w:tc>
        <w:tc>
          <w:tcPr>
            <w:tcW w:type="dxa" w:w="2664"/>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All recorded CYA values invoke the 2.0-4.0 ppm stabilized range. Active season: 12 low readings = 3 with logged action + 9 without. Full span: 25 low = 8 with action + 17 without. 10 action rows produced 0 separately documented corrective retests.</w:t>
            </w:r>
          </w:p>
        </w:tc>
        <w:tc>
          <w:tcPr>
            <w:tcW w:type="dxa" w:w="1800"/>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Contradicts clean/safe-and-corrected narrative. pH, combined chlorine, and CYA recorded 0 threshold failures, so the defect is not universal.</w:t>
            </w:r>
          </w:p>
        </w:tc>
        <w:tc>
          <w:tcPr>
            <w:tcW w:type="dxa" w:w="2376"/>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(Corporate Risk and Compliance/Waterfront Standard Operating Policies.docx) (Waterfront Operations/Corrigwell/2026/Corrigwell Water Quality Log 2026.xlsx) (Camp Administration/Aquatics Staffing Plan 2026.docx)</w:t>
            </w:r>
          </w:p>
        </w:tc>
      </w:tr>
      <w:tr>
        <w:trPr>
          <w:cantSplit/>
        </w:trPr>
        <w:tc>
          <w:tcPr>
            <w:tcW w:type="dxa" w:w="1440"/>
            <w:shd w:fill="EAF3F5"/>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14364A"/>
                <w:sz w:val="13"/>
              </w:rPr>
              <w:t>1:25 guard ratio</w:t>
            </w:r>
          </w:p>
          <w:p>
            <w:pPr>
              <w:keepNext w:val="0"/>
              <w:spacing w:before="0" w:after="0" w:line="240" w:lineRule="auto"/>
            </w:pPr>
            <w:r>
              <w:rPr>
                <w:rFonts w:ascii="DejaVu Sans" w:hAnsi="DejaVu Sans" w:eastAsia="DejaVu Sans"/>
                <w:b w:val="0"/>
                <w:i w:val="0"/>
                <w:color w:val="5E6A70"/>
                <w:sz w:val="13"/>
              </w:rPr>
              <w:t>Through July 1, 2026</w:t>
            </w:r>
          </w:p>
        </w:tc>
        <w:tc>
          <w:tcPr>
            <w:tcW w:type="dxa" w:w="223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162 area-block records = 9 dates x 6 blocks x 3 areas. Board and schedule swimmer counts differ in 129 records.</w:t>
            </w:r>
          </w:p>
        </w:tc>
        <w:tc>
          <w:tcPr>
            <w:tcW w:type="dxa" w:w="2664"/>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Using required guards = ceiling(authoritative buddy-board count / 25), 4 records are one guard short; all 4 are marked 'Met Standard = Yes.' Guard-name fields use '...' in 44 records.</w:t>
            </w:r>
          </w:p>
        </w:tc>
        <w:tc>
          <w:tcPr>
            <w:tcW w:type="dxa" w:w="1800"/>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Contradicts the claim that 1:25 was met at every check and shows incomplete assignment documentation.</w:t>
            </w:r>
          </w:p>
        </w:tc>
        <w:tc>
          <w:tcPr>
            <w:tcW w:type="dxa" w:w="2376"/>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(Corporate Risk and Compliance/Waterfront Standard Operating Policies.docx) (Waterfront Operations/Buddy Board and Supervision Procedures.docx) (Waterfront Operations/Corrigwell/2026/Corrigwell Ratio Schedule 2026.xlsx)</w:t>
            </w:r>
          </w:p>
        </w:tc>
      </w:tr>
      <w:tr>
        <w:trPr>
          <w:cantSplit/>
        </w:trPr>
        <w:tc>
          <w:tcPr>
            <w:tcW w:type="dxa" w:w="1440"/>
            <w:shd w:fill="EAF3F5"/>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14364A"/>
                <w:sz w:val="13"/>
              </w:rPr>
              <w:t>Incident record</w:t>
            </w:r>
          </w:p>
          <w:p>
            <w:pPr>
              <w:keepNext w:val="0"/>
              <w:spacing w:before="0" w:after="0" w:line="240" w:lineRule="auto"/>
            </w:pPr>
            <w:r>
              <w:rPr>
                <w:rFonts w:ascii="DejaVu Sans" w:hAnsi="DejaVu Sans" w:eastAsia="DejaVu Sans"/>
                <w:b w:val="0"/>
                <w:i w:val="0"/>
                <w:color w:val="5E6A70"/>
                <w:sz w:val="13"/>
              </w:rPr>
              <w:t>Through July 1, 2026</w:t>
            </w:r>
          </w:p>
        </w:tc>
        <w:tc>
          <w:tcPr>
            <w:tcW w:type="dxa" w:w="223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19 incidents = 17 routine first-aid entries + 2 tired-swimmer rescue assists. All 19 are marked non-reportable; 7 follow-up fields are blank.</w:t>
            </w:r>
          </w:p>
        </w:tc>
        <w:tc>
          <w:tcPr>
            <w:tcW w:type="dxa" w:w="2664"/>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7 area incidents lack a same-date, same-area scheduled coverage block. June 28 has 3 incidents, including 1 rescue, with no water-quality or ratio records for that date.</w:t>
            </w:r>
          </w:p>
        </w:tc>
        <w:tc>
          <w:tcPr>
            <w:tcW w:type="dxa" w:w="1800"/>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The corpus lacks the legal reportability threshold, so 'non-reportable' is a self-classification, not independent proof. The schedule gap is not proof that guards were absent, but it is a record contradiction.</w:t>
            </w:r>
          </w:p>
        </w:tc>
        <w:tc>
          <w:tcPr>
            <w:tcW w:type="dxa" w:w="2376"/>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(Waterfront Operations/Corrigwell/2026/Corrigwell Incident and First Aid Log 2026.xlsx) (Waterfront Operations/Corrigwell/2026/Corrigwell Ratio Schedule 2026.xlsx) (Waterfront Operations/Corrigwell/2026/Corrigwell Water Quality Log 2026.xlsx) (Waterfront Operations/Emergency Action Plan.docx)</w:t>
            </w:r>
          </w:p>
        </w:tc>
      </w:tr>
    </w:tbl>
    <w:p>
      <w:pPr>
        <w:keepNext w:val="0"/>
        <w:widowControl/>
        <w:spacing w:before="60" w:after="140" w:line="240" w:lineRule="auto"/>
      </w:pPr>
      <w:r>
        <w:rPr>
          <w:rFonts w:ascii="DejaVu Sans" w:hAnsi="DejaVu Sans" w:eastAsia="DejaVu Sans"/>
          <w:b/>
          <w:i w:val="0"/>
          <w:color w:val="0D6568"/>
          <w:sz w:val="14"/>
        </w:rPr>
        <w:t xml:space="preserve">Table 3. Corrigwell operational evidence available by event date through July 1, 2026. </w:t>
      </w:r>
      <w:r>
        <w:rPr>
          <w:rFonts w:ascii="DejaVu Sans" w:hAnsi="DejaVu Sans" w:eastAsia="DejaVu Sans"/>
          <w:b w:val="0"/>
          <w:i/>
          <w:color w:val="5E6A70"/>
          <w:sz w:val="14"/>
        </w:rPr>
        <w:t>Source: row-level files cited; recomputed directly from 2026 primary workbooks</w:t>
      </w:r>
    </w:p>
    <w:tbl>
      <w:tblPr>
        <w:tblW w:type="auto" w:w="0"/>
        <w:jc w:val="center"/>
        <w:tblLayout w:type="fixed"/>
        <w:tblLook w:firstColumn="1" w:firstRow="1" w:lastColumn="0" w:lastRow="0" w:noHBand="0" w:noVBand="1" w:val="04A0"/>
        <w:tblBorders>
          <w:top w:val="single" w:sz="8" w:space="0" w:color="A63B32"/>
          <w:left w:val="single" w:sz="8" w:space="0" w:color="A63B32"/>
          <w:bottom w:val="single" w:sz="8" w:space="0" w:color="A63B32"/>
          <w:right w:val="single" w:sz="8" w:space="0" w:color="A63B32"/>
          <w:insideH w:val="single" w:sz="8" w:space="0" w:color="A63B32"/>
          <w:insideV w:val="single" w:sz="8" w:space="0" w:color="A63B32"/>
        </w:tblBorders>
      </w:tblPr>
      <w:tblGrid>
        <w:gridCol w:w="10570"/>
      </w:tblGrid>
      <w:tr>
        <w:trPr>
          <w:cantSplit/>
        </w:trPr>
        <w:tc>
          <w:tcPr>
            <w:tcW w:type="dxa" w:w="10512"/>
            <w:shd w:fill="F9EDEC"/>
            <w:tcMar>
              <w:top w:w="100" w:type="dxa"/>
              <w:start w:w="130" w:type="dxa"/>
              <w:bottom w:w="100" w:type="dxa"/>
              <w:end w:w="130" w:type="dxa"/>
            </w:tcMar>
          </w:tcPr>
          <w:p>
            <w:pPr>
              <w:keepNext w:val="0"/>
              <w:spacing w:before="0" w:after="0" w:line="254" w:lineRule="auto"/>
            </w:pPr>
            <w:r/>
            <w:r>
              <w:rPr>
                <w:rFonts w:ascii="DejaVu Sans" w:hAnsi="DejaVu Sans" w:eastAsia="DejaVu Sans"/>
                <w:b/>
                <w:i w:val="0"/>
                <w:color w:val="A63B32"/>
                <w:sz w:val="15"/>
              </w:rPr>
              <w:t xml:space="preserve">REQUIRED CONCLUSION  </w:t>
            </w:r>
            <w:r>
              <w:rPr>
                <w:rFonts w:ascii="DejaVu Sans" w:hAnsi="DejaVu Sans" w:eastAsia="DejaVu Sans"/>
                <w:b/>
                <w:i w:val="0"/>
                <w:color w:val="24333C"/>
                <w:sz w:val="17"/>
              </w:rPr>
              <w:t>The evidence does not prove zero operational safety overlap. The Bureau case should remain credential-only, while KVL opens a separate operational-record review rather than broadening or mischaracterizing the Bureau's existing finding.</w:t>
            </w:r>
          </w:p>
        </w:tc>
      </w:tr>
    </w:tbl>
    <w:p>
      <w:pPr>
        <w:keepNext w:val="0"/>
        <w:widowControl/>
        <w:spacing w:before="0" w:after="40" w:line="254" w:lineRule="auto"/>
      </w:pPr>
    </w:p>
    <w:p>
      <w:pPr>
        <w:keepNext/>
        <w:widowControl/>
        <w:spacing w:before="100" w:after="60" w:line="240" w:lineRule="auto"/>
      </w:pPr>
      <w:r>
        <w:rPr>
          <w:rFonts w:ascii="DejaVu Sans" w:hAnsi="DejaVu Sans" w:eastAsia="DejaVu Sans"/>
          <w:b/>
          <w:i w:val="0"/>
          <w:color w:val="0D6568"/>
          <w:sz w:val="20"/>
        </w:rPr>
        <w:t>Why the Scope Isolation Memo Cannot Carry the Claim</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The memo is dated July 6, 2026, but its season-wide wording necessarily reaches beyond records dated July 6, 2026. It also claims a 2022-2026 review while the workspace contains primary operational logs only for 2025 and 2026. (Corporate Risk and Compliance/Scope Isolation Memo 2026.docx)</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The Bureau letter's narrow legal scope is not evidence that the full operational corpus is clean. Bureau production workpapers are absent, and the available 2026 logs did not all exist when records were produced on May 27 and June 9, 2026. (State Licensing/State Finding Letter - Corrigwell 2026.pdf)</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Official inspection PDFs control what the Bureau recorded at an inspection instant; they do not override season-log contradictions. The 2026 inspection PDF is chronologically inconsistent because a report dated June 16, 2026 refers to a July 2, 2026 correction. (State Licensing/Facility Inspection Report - Corrigwell 2026.pdf)</w:t>
      </w:r>
    </w:p>
    <w:p>
      <w:pPr>
        <w:widowControl/>
      </w:pPr>
      <w:r>
        <w:br w:type="page"/>
      </w:r>
    </w:p>
    <w:p>
      <w:pPr>
        <w:keepNext/>
        <w:spacing w:before="100" w:after="100" w:line="240" w:lineRule="auto"/>
        <w:widowControl/>
        <w:pBdr>
          <w:bottom w:val="single" w:sz="14" w:space="4" w:color="168C8C"/>
        </w:pBdr>
      </w:pPr>
      <w:r>
        <w:rPr>
          <w:rFonts w:ascii="DejaVu Sans" w:hAnsi="DejaVu Sans" w:eastAsia="DejaVu Sans"/>
          <w:b/>
          <w:i w:val="0"/>
          <w:color w:val="14364A"/>
          <w:sz w:val="26"/>
        </w:rPr>
        <w:t>4. RETESTING WORKLOAD BEFORE AUGUST 20, 2026</w:t>
      </w:r>
    </w:p>
    <w:p>
      <w:pPr>
        <w:keepNext w:val="0"/>
        <w:widowControl/>
        <w:spacing w:before="0" w:after="80" w:line="254" w:lineRule="auto"/>
      </w:pPr>
      <w:r>
        <w:rPr>
          <w:rFonts w:ascii="DejaVu Sans" w:hAnsi="DejaVu Sans" w:eastAsia="DejaVu Sans"/>
          <w:b w:val="0"/>
          <w:i w:val="0"/>
          <w:color w:val="24333C"/>
          <w:sz w:val="18"/>
        </w:rPr>
        <w:t>Basis selected. CAP Action 1 requires reassessment of all 2026 Corrigwell campers whose classifications rest on the defective 2022-2026 sign-off. Actual enrollment therefore governs the population count; the legal classification roster governs band evidence. The two sources do not reconcile, so this memo reports assessment obligations on a camper-session basis and does not mislabel them as proven unique people.</w:t>
      </w:r>
    </w:p>
    <w:tbl>
      <w:tblPr>
        <w:tblW w:type="auto" w:w="0"/>
        <w:jc w:val="center"/>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1762"/>
        <w:gridCol w:w="1762"/>
        <w:gridCol w:w="1762"/>
        <w:gridCol w:w="1762"/>
        <w:gridCol w:w="1762"/>
        <w:gridCol w:w="1762"/>
      </w:tblGrid>
      <w:tr>
        <w:trPr>
          <w:tblHeader w:val="true"/>
          <w:cantSplit/>
        </w:trPr>
        <w:tc>
          <w:tcPr>
            <w:tcW w:type="dxa" w:w="1036"/>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Cohort</w:t>
            </w:r>
          </w:p>
        </w:tc>
        <w:tc>
          <w:tcPr>
            <w:tcW w:type="dxa" w:w="161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Active population basis</w:t>
            </w:r>
          </w:p>
        </w:tc>
        <w:tc>
          <w:tcPr>
            <w:tcW w:type="dxa" w:w="1944"/>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Legal roster band evidence</w:t>
            </w:r>
          </w:p>
        </w:tc>
        <w:tc>
          <w:tcPr>
            <w:tcW w:type="dxa" w:w="1224"/>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Reconciliation</w:t>
            </w:r>
          </w:p>
        </w:tc>
        <w:tc>
          <w:tcPr>
            <w:tcW w:type="dxa" w:w="2088"/>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Gap / implication</w:t>
            </w:r>
          </w:p>
        </w:tc>
        <w:tc>
          <w:tcPr>
            <w:tcW w:type="dxa" w:w="259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Direct source</w:t>
            </w:r>
          </w:p>
        </w:tc>
      </w:tr>
      <w:tr>
        <w:trPr>
          <w:cantSplit/>
        </w:trPr>
        <w:tc>
          <w:tcPr>
            <w:tcW w:type="dxa" w:w="1036"/>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Session 1</w:t>
            </w:r>
          </w:p>
        </w:tc>
        <w:tc>
          <w:tcPr>
            <w:tcW w:type="dxa" w:w="1612"/>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264 enrolled</w:t>
            </w:r>
          </w:p>
        </w:tc>
        <w:tc>
          <w:tcPr>
            <w:tcW w:type="dxa" w:w="1944"/>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68 Red / nonswimmer</w:t>
              <w:br/>
              <w:t>89 Yellow / beginner</w:t>
              <w:br/>
              <w:t>123 Green / swimmer</w:t>
              <w:br/>
              <w:t>280 roster rows</w:t>
            </w:r>
          </w:p>
        </w:tc>
        <w:tc>
          <w:tcPr>
            <w:tcW w:type="dxa" w:w="1224"/>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280 - 264 = +16</w:t>
            </w:r>
          </w:p>
        </w:tc>
        <w:tc>
          <w:tcPr>
            <w:tcW w:type="dxa" w:w="2088"/>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No missing population shown; excess legal rows require identity reconciliation.</w:t>
            </w:r>
          </w:p>
        </w:tc>
        <w:tc>
          <w:tcPr>
            <w:tcW w:type="dxa" w:w="2592"/>
            <w:shd w:fill="FFFFFF"/>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(Camp Administration/Session Enrollment Summary 2022-2026.xlsx) (Swim Classification Records/Corrigwell/2026/Corrigwell Swim Classification Roster 2026.xlsx)</w:t>
            </w:r>
          </w:p>
        </w:tc>
      </w:tr>
      <w:tr>
        <w:trPr>
          <w:cantSplit/>
        </w:trPr>
        <w:tc>
          <w:tcPr>
            <w:tcW w:type="dxa" w:w="1036"/>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Session 2</w:t>
            </w:r>
          </w:p>
        </w:tc>
        <w:tc>
          <w:tcPr>
            <w:tcW w:type="dxa" w:w="1612"/>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259 enrolled</w:t>
            </w:r>
          </w:p>
        </w:tc>
        <w:tc>
          <w:tcPr>
            <w:tcW w:type="dxa" w:w="1944"/>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59 Red / nonswimmer</w:t>
              <w:br/>
              <w:t>93 Yellow / beginner</w:t>
              <w:br/>
              <w:t>136 Green / swimmer</w:t>
              <w:br/>
              <w:t>288 roster rows</w:t>
            </w:r>
          </w:p>
        </w:tc>
        <w:tc>
          <w:tcPr>
            <w:tcW w:type="dxa" w:w="1224"/>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288 - 259 = +29</w:t>
            </w:r>
          </w:p>
        </w:tc>
        <w:tc>
          <w:tcPr>
            <w:tcW w:type="dxa" w:w="2088"/>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No missing population shown; excess legal rows require identity reconciliation.</w:t>
            </w:r>
          </w:p>
        </w:tc>
        <w:tc>
          <w:tcPr>
            <w:tcW w:type="dxa" w:w="2592"/>
            <w:shd w:fill="F3F5F6"/>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(Camp Administration/Session Enrollment Summary 2022-2026.xlsx) (Swim Classification Records/Corrigwell/2026/Corrigwell Swim Classification Roster 2026.xlsx)</w:t>
            </w:r>
          </w:p>
        </w:tc>
      </w:tr>
      <w:tr>
        <w:trPr>
          <w:cantSplit/>
        </w:trPr>
        <w:tc>
          <w:tcPr>
            <w:tcW w:type="dxa" w:w="1036"/>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Session 3</w:t>
            </w:r>
          </w:p>
        </w:tc>
        <w:tc>
          <w:tcPr>
            <w:tcW w:type="dxa" w:w="1612"/>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262 enrolled</w:t>
            </w:r>
          </w:p>
        </w:tc>
        <w:tc>
          <w:tcPr>
            <w:tcW w:type="dxa" w:w="194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46 Red / nonswimmer</w:t>
              <w:br/>
              <w:t>73 Yellow / beginner</w:t>
              <w:br/>
              <w:t>113 Green / swimmer</w:t>
              <w:br/>
              <w:t>232 roster rows</w:t>
            </w:r>
          </w:p>
        </w:tc>
        <w:tc>
          <w:tcPr>
            <w:tcW w:type="dxa" w:w="122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232 - 262 = -30</w:t>
            </w:r>
          </w:p>
        </w:tc>
        <w:tc>
          <w:tcPr>
            <w:tcW w:type="dxa" w:w="208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[CORPUS GAP] 30 active enrollment records have no legal classification row; identities and bands unknown.</w:t>
            </w:r>
          </w:p>
        </w:tc>
        <w:tc>
          <w:tcPr>
            <w:tcW w:type="dxa" w:w="2592"/>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(Camp Administration/Session Enrollment Summary 2022-2026.xlsx) (Swim Classification Records/Corrigwell/2026/Corrigwell Swim Classification Roster 2026.xlsx)</w:t>
            </w:r>
          </w:p>
        </w:tc>
      </w:tr>
      <w:tr>
        <w:trPr>
          <w:cantSplit/>
        </w:trPr>
        <w:tc>
          <w:tcPr>
            <w:tcW w:type="dxa" w:w="1036"/>
            <w:shd w:fill="EAF3F5"/>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14364A"/>
                <w:sz w:val="13"/>
              </w:rPr>
              <w:t>TOTAL 2026</w:t>
            </w:r>
          </w:p>
        </w:tc>
        <w:tc>
          <w:tcPr>
            <w:tcW w:type="dxa" w:w="161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264 + 259 + 262 = 785 camper-session enrollments</w:t>
            </w:r>
          </w:p>
        </w:tc>
        <w:tc>
          <w:tcPr>
            <w:tcW w:type="dxa" w:w="1944"/>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173 Red + 255 Yellow + 372 Green = 800 roster rows</w:t>
            </w:r>
          </w:p>
        </w:tc>
        <w:tc>
          <w:tcPr>
            <w:tcW w:type="dxa" w:w="1224"/>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800 - 785 = +15 net excess roster rows</w:t>
            </w:r>
          </w:p>
        </w:tc>
        <w:tc>
          <w:tcPr>
            <w:tcW w:type="dxa" w:w="2088"/>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[CORPUS GAP] Exact distinct active-camper count and exact active band split cannot be computed without a named enrollment-to-roster crosswalk.</w:t>
            </w:r>
          </w:p>
        </w:tc>
        <w:tc>
          <w:tcPr>
            <w:tcW w:type="dxa" w:w="259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(Camp Administration/Session Enrollment Summary 2022-2026.xlsx) (Swim Classification Records/Corrigwell/2026/Corrigwell Swim Classification Roster 2026.xlsx)</w:t>
            </w:r>
          </w:p>
        </w:tc>
      </w:tr>
    </w:tbl>
    <w:p>
      <w:pPr>
        <w:keepNext w:val="0"/>
        <w:widowControl/>
        <w:spacing w:before="60" w:after="140" w:line="240" w:lineRule="auto"/>
      </w:pPr>
      <w:r>
        <w:rPr>
          <w:rFonts w:ascii="DejaVu Sans" w:hAnsi="DejaVu Sans" w:eastAsia="DejaVu Sans"/>
          <w:b/>
          <w:i w:val="0"/>
          <w:color w:val="0D6568"/>
          <w:sz w:val="14"/>
        </w:rPr>
        <w:t xml:space="preserve">Table 4. Active 2026 retesting workload and band reconciliation. </w:t>
      </w:r>
      <w:r>
        <w:rPr>
          <w:rFonts w:ascii="DejaVu Sans" w:hAnsi="DejaVu Sans" w:eastAsia="DejaVu Sans"/>
          <w:b w:val="0"/>
          <w:i/>
          <w:color w:val="5E6A70"/>
          <w:sz w:val="14"/>
        </w:rPr>
        <w:t>Source: Enrollment Summary rows 222-230 and Corrigwell 2026 Classification Roster rows 7-806; recomputed</w:t>
      </w:r>
    </w:p>
    <w:tbl>
      <w:tblPr>
        <w:tblW w:type="auto" w:w="0"/>
        <w:jc w:val="center"/>
        <w:tblLayout w:type="fixed"/>
        <w:tblLook w:firstColumn="1" w:firstRow="1" w:lastColumn="0" w:lastRow="0" w:noHBand="0" w:noVBand="1" w:val="04A0"/>
        <w:tblBorders>
          <w:top w:val="single" w:sz="8" w:space="0" w:color="C7632E"/>
          <w:left w:val="single" w:sz="8" w:space="0" w:color="C7632E"/>
          <w:bottom w:val="single" w:sz="8" w:space="0" w:color="C7632E"/>
          <w:right w:val="single" w:sz="8" w:space="0" w:color="C7632E"/>
          <w:insideH w:val="single" w:sz="8" w:space="0" w:color="C7632E"/>
          <w:insideV w:val="single" w:sz="8" w:space="0" w:color="C7632E"/>
        </w:tblBorders>
      </w:tblPr>
      <w:tblGrid>
        <w:gridCol w:w="10570"/>
      </w:tblGrid>
      <w:tr>
        <w:trPr>
          <w:cantSplit/>
        </w:trPr>
        <w:tc>
          <w:tcPr>
            <w:tcW w:type="dxa" w:w="10512"/>
            <w:shd w:fill="FBF0E8"/>
            <w:tcMar>
              <w:top w:w="100" w:type="dxa"/>
              <w:start w:w="130" w:type="dxa"/>
              <w:bottom w:w="100" w:type="dxa"/>
              <w:end w:w="130" w:type="dxa"/>
            </w:tcMar>
          </w:tcPr>
          <w:p>
            <w:pPr>
              <w:keepNext w:val="0"/>
              <w:spacing w:before="0" w:after="0" w:line="254" w:lineRule="auto"/>
            </w:pPr>
            <w:r/>
            <w:r>
              <w:rPr>
                <w:rFonts w:ascii="DejaVu Sans" w:hAnsi="DejaVu Sans" w:eastAsia="DejaVu Sans"/>
                <w:b/>
                <w:i w:val="0"/>
                <w:color w:val="C7632E"/>
                <w:sz w:val="15"/>
              </w:rPr>
              <w:t xml:space="preserve">WORKLOAD ANSWER  </w:t>
            </w:r>
            <w:r>
              <w:rPr>
                <w:rFonts w:ascii="DejaVu Sans" w:hAnsi="DejaVu Sans" w:eastAsia="DejaVu Sans"/>
                <w:b/>
                <w:i w:val="0"/>
                <w:color w:val="24333C"/>
                <w:sz w:val="17"/>
              </w:rPr>
              <w:t>Before August 20, 2026, plan for 785 camper-session reassessment obligations. For Session 3 ending August 20, 2026, the answer is 262: 46 known Red, 73 known Yellow, 113 known Green, plus 30 [CORPUS GAP] with unknown identity and band. An exact unique-camper figure is not supported.</w:t>
            </w:r>
          </w:p>
        </w:tc>
      </w:tr>
    </w:tbl>
    <w:p>
      <w:pPr>
        <w:keepNext w:val="0"/>
        <w:widowControl/>
        <w:spacing w:before="0" w:after="40" w:line="254" w:lineRule="auto"/>
      </w:pPr>
    </w:p>
    <w:tbl>
      <w:tblPr>
        <w:tblW w:type="auto" w:w="0"/>
        <w:jc w:val="center"/>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2642"/>
        <w:gridCol w:w="2642"/>
        <w:gridCol w:w="2642"/>
        <w:gridCol w:w="2642"/>
      </w:tblGrid>
      <w:tr>
        <w:trPr>
          <w:tblHeader w:val="true"/>
          <w:cantSplit/>
        </w:trPr>
        <w:tc>
          <w:tcPr>
            <w:tcW w:type="dxa" w:w="1800"/>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Question</w:t>
            </w:r>
          </w:p>
        </w:tc>
        <w:tc>
          <w:tcPr>
            <w:tcW w:type="dxa" w:w="1655"/>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Answer</w:t>
            </w:r>
          </w:p>
        </w:tc>
        <w:tc>
          <w:tcPr>
            <w:tcW w:type="dxa" w:w="4248"/>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Basis</w:t>
            </w:r>
          </w:p>
        </w:tc>
        <w:tc>
          <w:tcPr>
            <w:tcW w:type="dxa" w:w="2808"/>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Direct source</w:t>
            </w:r>
          </w:p>
        </w:tc>
      </w:tr>
      <w:tr>
        <w:trPr>
          <w:cantSplit/>
        </w:trPr>
        <w:tc>
          <w:tcPr>
            <w:tcW w:type="dxa" w:w="1800"/>
            <w:shd w:fill="EAF3EC"/>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397353"/>
                <w:sz w:val="14"/>
              </w:rPr>
              <w:t>2027 operational carryover</w:t>
            </w:r>
          </w:p>
        </w:tc>
        <w:tc>
          <w:tcPr>
            <w:tcW w:type="dxa" w:w="1655"/>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0 wristbands</w:t>
            </w:r>
          </w:p>
        </w:tc>
        <w:tc>
          <w:tcPr>
            <w:tcW w:type="dxa" w:w="4248"/>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Every camper must test each season; a 2026 band has no 2027 operational authority, whether or not 2026 reassessment is completed.</w:t>
            </w:r>
          </w:p>
        </w:tc>
        <w:tc>
          <w:tcPr>
            <w:tcW w:type="dxa" w:w="2808"/>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(Swim Classification Records/Swim Test Administration Guide.docx) (Corporate Risk and Compliance/Waterfront Standard Operating Policies.docx)</w:t>
            </w:r>
          </w:p>
        </w:tc>
      </w:tr>
      <w:tr>
        <w:trPr>
          <w:cantSplit/>
        </w:trPr>
        <w:tc>
          <w:tcPr>
            <w:tcW w:type="dxa" w:w="1800"/>
            <w:shd w:fill="FBF0E8"/>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C7632E"/>
                <w:sz w:val="14"/>
              </w:rPr>
              <w:t>Administrative exposure</w:t>
            </w:r>
          </w:p>
        </w:tc>
        <w:tc>
          <w:tcPr>
            <w:tcW w:type="dxa" w:w="1655"/>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375 2025 swimmer-classification rows</w:t>
            </w:r>
          </w:p>
        </w:tc>
        <w:tc>
          <w:tcPr>
            <w:tcW w:type="dxa" w:w="424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These may require administrative resolution before 2027 enrollment, but they do not carry a green wristband into 2027. Returning-camper count is [CORPUS GAP] because no 2027 roster/crosswalk exists.</w:t>
            </w:r>
          </w:p>
        </w:tc>
        <w:tc>
          <w:tcPr>
            <w:tcW w:type="dxa" w:w="280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(Swim Classification Records/Corrigwell/2025/Corrigwell Swim Classification Roster 2025.xlsx) (Corporate Risk and Compliance/camper-days recompute notes.md)</w:t>
            </w:r>
          </w:p>
        </w:tc>
      </w:tr>
    </w:tbl>
    <w:p>
      <w:pPr>
        <w:keepNext w:val="0"/>
        <w:widowControl/>
        <w:spacing w:before="60" w:after="140" w:line="240" w:lineRule="auto"/>
      </w:pPr>
      <w:r>
        <w:rPr>
          <w:rFonts w:ascii="DejaVu Sans" w:hAnsi="DejaVu Sans" w:eastAsia="DejaVu Sans"/>
          <w:b/>
          <w:i w:val="0"/>
          <w:color w:val="0D6568"/>
          <w:sz w:val="14"/>
        </w:rPr>
        <w:t xml:space="preserve">Table 5. 2027 wristband effect. </w:t>
      </w:r>
      <w:r>
        <w:rPr>
          <w:rFonts w:ascii="DejaVu Sans" w:hAnsi="DejaVu Sans" w:eastAsia="DejaVu Sans"/>
          <w:b w:val="0"/>
          <w:i/>
          <w:color w:val="5E6A70"/>
          <w:sz w:val="14"/>
        </w:rPr>
        <w:t>Source: governing Swim Test Administration Guide; 2025 legal classification roster</w:t>
      </w:r>
    </w:p>
    <w:p>
      <w:pPr>
        <w:widowControl/>
      </w:pPr>
      <w:r>
        <w:br w:type="page"/>
      </w:r>
    </w:p>
    <w:p>
      <w:pPr>
        <w:keepNext/>
        <w:spacing w:before="100" w:after="100" w:line="240" w:lineRule="auto"/>
        <w:widowControl/>
        <w:pBdr>
          <w:bottom w:val="single" w:sz="14" w:space="4" w:color="168C8C"/>
        </w:pBdr>
      </w:pPr>
      <w:r>
        <w:rPr>
          <w:rFonts w:ascii="DejaVu Sans" w:hAnsi="DejaVu Sans" w:eastAsia="DejaVu Sans"/>
          <w:b/>
          <w:i w:val="0"/>
          <w:color w:val="14364A"/>
          <w:sz w:val="26"/>
        </w:rPr>
        <w:t>5. STAFF ASSESSMENT AUTHORITY</w:t>
      </w:r>
    </w:p>
    <w:p>
      <w:pPr>
        <w:keepNext w:val="0"/>
        <w:widowControl/>
        <w:spacing w:before="0" w:after="80" w:line="254" w:lineRule="auto"/>
      </w:pPr>
      <w:r>
        <w:rPr>
          <w:rFonts w:ascii="DejaVu Sans" w:hAnsi="DejaVu Sans" w:eastAsia="DejaVu Sans"/>
          <w:b w:val="0"/>
          <w:i w:val="0"/>
          <w:color w:val="24333C"/>
          <w:sz w:val="18"/>
        </w:rPr>
        <w:t>The authorization matrix is the controlling copy and separates supervision from assessment authority. A credential valid on July 1, 2026 is not enough: each qualifying code also requires swim-test administration sign-off on Form ASC-2. Job title, seniority, deep-water authority, and AQS supervisor status do not substitute.</w:t>
      </w:r>
    </w:p>
    <w:tbl>
      <w:tblPr>
        <w:tblW w:type="auto" w:w="0"/>
        <w:jc w:val="center"/>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2114"/>
        <w:gridCol w:w="2114"/>
        <w:gridCol w:w="2114"/>
        <w:gridCol w:w="2114"/>
        <w:gridCol w:w="2114"/>
      </w:tblGrid>
      <w:tr>
        <w:trPr>
          <w:tblHeader w:val="true"/>
          <w:cantSplit/>
        </w:trPr>
        <w:tc>
          <w:tcPr>
            <w:tcW w:type="dxa" w:w="115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Credential</w:t>
            </w:r>
          </w:p>
        </w:tc>
        <w:tc>
          <w:tcPr>
            <w:tcW w:type="dxa" w:w="1440"/>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Track</w:t>
            </w:r>
          </w:p>
        </w:tc>
        <w:tc>
          <w:tcPr>
            <w:tcW w:type="dxa" w:w="1800"/>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Assessment authority</w:t>
            </w:r>
          </w:p>
        </w:tc>
        <w:tc>
          <w:tcPr>
            <w:tcW w:type="dxa" w:w="2376"/>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Additional condition</w:t>
            </w:r>
          </w:p>
        </w:tc>
        <w:tc>
          <w:tcPr>
            <w:tcW w:type="dxa" w:w="3744"/>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Direct source</w:t>
            </w:r>
          </w:p>
        </w:tc>
      </w:tr>
      <w:tr>
        <w:trPr>
          <w:cantSplit/>
        </w:trPr>
        <w:tc>
          <w:tcPr>
            <w:tcW w:type="dxa" w:w="1152"/>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LG-WF</w:t>
            </w:r>
          </w:p>
        </w:tc>
        <w:tc>
          <w:tcPr>
            <w:tcW w:type="dxa" w:w="144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Guard</w:t>
            </w:r>
          </w:p>
        </w:tc>
        <w:tc>
          <w:tcPr>
            <w:tcW w:type="dxa" w:w="180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Yes</w:t>
            </w:r>
          </w:p>
        </w:tc>
        <w:tc>
          <w:tcPr>
            <w:tcW w:type="dxa" w:w="2376"/>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Form ASC-2 required</w:t>
            </w:r>
          </w:p>
        </w:tc>
        <w:tc>
          <w:tcPr>
            <w:tcW w:type="dxa" w:w="3744"/>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(Credential Records/Credential-Track Authorization Matrix.xlsx), Authorization Matrix row 10</w:t>
            </w:r>
          </w:p>
        </w:tc>
      </w:tr>
      <w:tr>
        <w:trPr>
          <w:cantSplit/>
        </w:trPr>
        <w:tc>
          <w:tcPr>
            <w:tcW w:type="dxa" w:w="1152"/>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WSI</w:t>
            </w:r>
          </w:p>
        </w:tc>
        <w:tc>
          <w:tcPr>
            <w:tcW w:type="dxa" w:w="144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Instructor</w:t>
            </w:r>
          </w:p>
        </w:tc>
        <w:tc>
          <w:tcPr>
            <w:tcW w:type="dxa" w:w="180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Yes</w:t>
            </w:r>
          </w:p>
        </w:tc>
        <w:tc>
          <w:tcPr>
            <w:tcW w:type="dxa" w:w="2376"/>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Form ASC-2 required</w:t>
            </w:r>
          </w:p>
        </w:tc>
        <w:tc>
          <w:tcPr>
            <w:tcW w:type="dxa" w:w="3744"/>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(Credential Records/Credential-Track Authorization Matrix.xlsx), Authorization Matrix row 11</w:t>
            </w:r>
          </w:p>
        </w:tc>
      </w:tr>
      <w:tr>
        <w:trPr>
          <w:cantSplit/>
        </w:trPr>
        <w:tc>
          <w:tcPr>
            <w:tcW w:type="dxa" w:w="1152"/>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LGI</w:t>
            </w:r>
          </w:p>
        </w:tc>
        <w:tc>
          <w:tcPr>
            <w:tcW w:type="dxa" w:w="144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Instructor</w:t>
            </w:r>
          </w:p>
        </w:tc>
        <w:tc>
          <w:tcPr>
            <w:tcW w:type="dxa" w:w="180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Yes</w:t>
            </w:r>
          </w:p>
        </w:tc>
        <w:tc>
          <w:tcPr>
            <w:tcW w:type="dxa" w:w="2376"/>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Form ASC-2 required</w:t>
            </w:r>
          </w:p>
        </w:tc>
        <w:tc>
          <w:tcPr>
            <w:tcW w:type="dxa" w:w="3744"/>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(Credential Records/Credential-Track Authorization Matrix.xlsx), Authorization Matrix row 12</w:t>
            </w:r>
          </w:p>
        </w:tc>
      </w:tr>
      <w:tr>
        <w:trPr>
          <w:cantSplit/>
        </w:trPr>
        <w:tc>
          <w:tcPr>
            <w:tcW w:type="dxa" w:w="1152"/>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AQS</w:t>
            </w:r>
          </w:p>
        </w:tc>
        <w:tc>
          <w:tcPr>
            <w:tcW w:type="dxa" w:w="1440"/>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Supervisor</w:t>
            </w:r>
          </w:p>
        </w:tc>
        <w:tc>
          <w:tcPr>
            <w:tcW w:type="dxa" w:w="1800"/>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No</w:t>
            </w:r>
          </w:p>
        </w:tc>
        <w:tc>
          <w:tcPr>
            <w:tcW w:type="dxa" w:w="2376"/>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Cannot sign swim assessments</w:t>
            </w:r>
          </w:p>
        </w:tc>
        <w:tc>
          <w:tcPr>
            <w:tcW w:type="dxa" w:w="3744"/>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4"/>
              </w:rPr>
              <w:t>(Credential Records/Credential-Track Authorization Matrix.xlsx), Authorization Matrix row 13</w:t>
            </w:r>
          </w:p>
        </w:tc>
      </w:tr>
    </w:tbl>
    <w:p>
      <w:pPr>
        <w:keepNext w:val="0"/>
        <w:widowControl/>
        <w:spacing w:before="60" w:after="140" w:line="240" w:lineRule="auto"/>
      </w:pPr>
      <w:r>
        <w:rPr>
          <w:rFonts w:ascii="DejaVu Sans" w:hAnsi="DejaVu Sans" w:eastAsia="DejaVu Sans"/>
          <w:b/>
          <w:i w:val="0"/>
          <w:color w:val="0D6568"/>
          <w:sz w:val="14"/>
        </w:rPr>
        <w:t xml:space="preserve">Table 6. Exact credential roles qualifying for swim-assessment sign-off. </w:t>
      </w:r>
      <w:r>
        <w:rPr>
          <w:rFonts w:ascii="DejaVu Sans" w:hAnsi="DejaVu Sans" w:eastAsia="DejaVu Sans"/>
          <w:b w:val="0"/>
          <w:i/>
          <w:color w:val="5E6A70"/>
          <w:sz w:val="14"/>
        </w:rPr>
        <w:t>Source: controlling Credential-Track Authorization Matrix, revision 2024-11</w:t>
      </w:r>
    </w:p>
    <w:tbl>
      <w:tblPr>
        <w:tblW w:type="auto" w:w="0"/>
        <w:jc w:val="center"/>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2114"/>
        <w:gridCol w:w="2114"/>
        <w:gridCol w:w="2114"/>
        <w:gridCol w:w="2114"/>
        <w:gridCol w:w="2114"/>
      </w:tblGrid>
      <w:tr>
        <w:trPr>
          <w:tblHeader w:val="true"/>
          <w:cantSplit/>
        </w:trPr>
        <w:tc>
          <w:tcPr>
            <w:tcW w:type="dxa" w:w="1655"/>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Population / result</w:t>
            </w:r>
          </w:p>
        </w:tc>
        <w:tc>
          <w:tcPr>
            <w:tcW w:type="dxa" w:w="223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Recomputed count</w:t>
            </w:r>
          </w:p>
        </w:tc>
        <w:tc>
          <w:tcPr>
            <w:tcW w:type="dxa" w:w="1944"/>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Cross-reference result</w:t>
            </w:r>
          </w:p>
        </w:tc>
        <w:tc>
          <w:tcPr>
            <w:tcW w:type="dxa" w:w="1800"/>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Conclusion</w:t>
            </w:r>
          </w:p>
        </w:tc>
        <w:tc>
          <w:tcPr>
            <w:tcW w:type="dxa" w:w="2880"/>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Direct source</w:t>
            </w:r>
          </w:p>
        </w:tc>
      </w:tr>
      <w:tr>
        <w:trPr>
          <w:cantSplit/>
        </w:trPr>
        <w:tc>
          <w:tcPr>
            <w:tcW w:type="dxa" w:w="1655"/>
            <w:shd w:fill="FBF0E8"/>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14364A"/>
                <w:sz w:val="13"/>
              </w:rPr>
              <w:t>Rostered waterfront population</w:t>
            </w:r>
          </w:p>
        </w:tc>
        <w:tc>
          <w:tcPr>
            <w:tcW w:type="dxa" w:w="2232"/>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113 active 2026 waterfront assignments across six sites; Corrigwell has 16.</w:t>
            </w:r>
          </w:p>
        </w:tc>
        <w:tc>
          <w:tcPr>
            <w:tcW w:type="dxa" w:w="194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Exact ID matches to Corrigwell credential archive: 0. Exact-name matches: 0.</w:t>
            </w:r>
          </w:p>
        </w:tc>
        <w:tc>
          <w:tcPr>
            <w:tcW w:type="dxa" w:w="180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[CORPUS GAP] Active roster cannot be linked to credential evidence.</w:t>
            </w:r>
          </w:p>
        </w:tc>
        <w:tc>
          <w:tcPr>
            <w:tcW w:type="dxa" w:w="2880"/>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(Camp Administration/Staff Roster and Assignments 2026.xlsx) (Credential Records/Corrigwell/2026/Corrigwell Lifeguard Certification File 2026.xlsx)</w:t>
            </w:r>
          </w:p>
        </w:tc>
      </w:tr>
      <w:tr>
        <w:trPr>
          <w:cantSplit/>
        </w:trPr>
        <w:tc>
          <w:tcPr>
            <w:tcW w:type="dxa" w:w="1655"/>
            <w:shd w:fill="EAF3F5"/>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0D6568"/>
                <w:sz w:val="13"/>
              </w:rPr>
              <w:t>Credential archive, not active roster</w:t>
            </w:r>
          </w:p>
        </w:tc>
        <w:tc>
          <w:tcPr>
            <w:tcW w:type="dxa" w:w="223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Date-valid qualifying rows on July 1, 2026: 25 LG-WF + 14 WSI + 2 LGI = 41 rows, representing 33 people; 32 people were verified by July 1, 2026.</w:t>
            </w:r>
          </w:p>
        </w:tc>
        <w:tc>
          <w:tcPr>
            <w:tcW w:type="dxa" w:w="1944"/>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These records cannot be counted as active staff because the archive does not match the active roster.</w:t>
            </w:r>
          </w:p>
        </w:tc>
        <w:tc>
          <w:tcPr>
            <w:tcW w:type="dxa" w:w="1800"/>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Do not report the archive count as active authorization.</w:t>
            </w:r>
          </w:p>
        </w:tc>
        <w:tc>
          <w:tcPr>
            <w:tcW w:type="dxa" w:w="2880"/>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(Credential Records/Corrigwell/2026/Corrigwell Lifeguard Certification File 2026.xlsx) (Camp Administration/Staff Roster and Assignments 2026.xlsx)</w:t>
            </w:r>
          </w:p>
        </w:tc>
      </w:tr>
      <w:tr>
        <w:trPr>
          <w:cantSplit/>
        </w:trPr>
        <w:tc>
          <w:tcPr>
            <w:tcW w:type="dxa" w:w="1655"/>
            <w:shd w:fill="EAF3EC"/>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397353"/>
                <w:sz w:val="13"/>
              </w:rPr>
              <w:t>Proved active leader</w:t>
            </w:r>
          </w:p>
        </w:tc>
        <w:tc>
          <w:tcPr>
            <w:tcW w:type="dxa" w:w="2232"/>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1 person: Carmen P. Yee. Current LG-WF, WSI, and LGI records establish qualifying track and dates; leadership chart establishes active role.</w:t>
            </w:r>
          </w:p>
        </w:tc>
        <w:tc>
          <w:tcPr>
            <w:tcW w:type="dxa" w:w="1944"/>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No Form ASC-2 is present.</w:t>
            </w:r>
          </w:p>
        </w:tc>
        <w:tc>
          <w:tcPr>
            <w:tcW w:type="dxa" w:w="180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Track/date qualified, but complete assessment authority is not proved. [CORPUS GAP]</w:t>
            </w:r>
          </w:p>
        </w:tc>
        <w:tc>
          <w:tcPr>
            <w:tcW w:type="dxa" w:w="2880"/>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(Camp Administration/Aquatics Leadership Org Chart 2026.pptx) (Credential Records/Corrigwell/2026/Corrigwell Lifeguard Certification File 2026.xlsx) (Credential Records/Credential-Track Authorization Matrix.xlsx)</w:t>
            </w:r>
          </w:p>
        </w:tc>
      </w:tr>
      <w:tr>
        <w:trPr>
          <w:cantSplit/>
        </w:trPr>
        <w:tc>
          <w:tcPr>
            <w:tcW w:type="dxa" w:w="1655"/>
            <w:shd w:fill="F9EDEC"/>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A63B32"/>
                <w:sz w:val="13"/>
              </w:rPr>
              <w:t>Unauthorized active leader</w:t>
            </w:r>
          </w:p>
        </w:tc>
        <w:tc>
          <w:tcPr>
            <w:tcW w:type="dxa" w:w="2232"/>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1 person: Martin T. Eberly. AQS validity is March 18, 2026-March 18, 2028.</w:t>
            </w:r>
          </w:p>
        </w:tc>
        <w:tc>
          <w:tcPr>
            <w:tcW w:type="dxa" w:w="1944"/>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Matrix assessment authority: No.</w:t>
            </w:r>
          </w:p>
        </w:tc>
        <w:tc>
          <w:tcPr>
            <w:tcW w:type="dxa" w:w="1800"/>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Not authorized to sign swim assessments.</w:t>
            </w:r>
          </w:p>
        </w:tc>
        <w:tc>
          <w:tcPr>
            <w:tcW w:type="dxa" w:w="2880"/>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(Camp Administration/Aquatics Leadership Org Chart 2026.pptx) (Credential Records/Corrigwell/2026/Corrigwell Lifeguard Certification File 2026.xlsx) (Credential Records/Credential-Track Authorization Matrix.xlsx)</w:t>
            </w:r>
          </w:p>
        </w:tc>
      </w:tr>
      <w:tr>
        <w:trPr>
          <w:cantSplit/>
        </w:trPr>
        <w:tc>
          <w:tcPr>
            <w:tcW w:type="dxa" w:w="1655"/>
            <w:shd w:fill="F9EDEC"/>
            <w:vAlign w:val="top"/>
            <w:tcMar>
              <w:top w:w="70" w:type="dxa"/>
              <w:start w:w="80" w:type="dxa"/>
              <w:bottom w:w="70" w:type="dxa"/>
              <w:end w:w="80" w:type="dxa"/>
            </w:tcMar>
          </w:tcPr>
          <w:p>
            <w:pPr>
              <w:keepNext w:val="0"/>
              <w:spacing w:before="0" w:after="0" w:line="240" w:lineRule="auto"/>
            </w:pPr>
            <w:r/>
            <w:r>
              <w:rPr>
                <w:rFonts w:ascii="DejaVu Sans" w:hAnsi="DejaVu Sans" w:eastAsia="DejaVu Sans"/>
                <w:b/>
                <w:i w:val="0"/>
                <w:color w:val="A63B32"/>
                <w:sz w:val="13"/>
              </w:rPr>
              <w:t>Fully evidenced active authority</w:t>
            </w:r>
          </w:p>
        </w:tc>
        <w:tc>
          <w:tcPr>
            <w:tcW w:type="dxa" w:w="2232"/>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0 staff</w:t>
            </w:r>
          </w:p>
        </w:tc>
        <w:tc>
          <w:tcPr>
            <w:tcW w:type="dxa" w:w="1944"/>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Qualifying code + active linkage + validity on July 1, 2026 + Form ASC-2 is not proved for any person.</w:t>
            </w:r>
          </w:p>
        </w:tc>
        <w:tc>
          <w:tcPr>
            <w:tcW w:type="dxa" w:w="1800"/>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This is the defensible answer from the corpus, not proof that no ASC-2 exists outside the corpus.</w:t>
            </w:r>
          </w:p>
        </w:tc>
        <w:tc>
          <w:tcPr>
            <w:tcW w:type="dxa" w:w="2880"/>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(Credential Records/Credential-Track Authorization Matrix.xlsx) (Camp Administration/Staff Roster and Assignments 2026.xlsx) (Credential Records/Corrigwell/2026/Corrigwell Lifeguard Certification File 2026.xlsx)</w:t>
            </w:r>
          </w:p>
        </w:tc>
      </w:tr>
    </w:tbl>
    <w:p>
      <w:pPr>
        <w:keepNext w:val="0"/>
        <w:widowControl/>
        <w:spacing w:before="60" w:after="140" w:line="240" w:lineRule="auto"/>
      </w:pPr>
      <w:r>
        <w:rPr>
          <w:rFonts w:ascii="DejaVu Sans" w:hAnsi="DejaVu Sans" w:eastAsia="DejaVu Sans"/>
          <w:b/>
          <w:i w:val="0"/>
          <w:color w:val="0D6568"/>
          <w:sz w:val="14"/>
        </w:rPr>
        <w:t xml:space="preserve">Table 7. Active-staff cross-reference at July 1, 2026. </w:t>
      </w:r>
      <w:r>
        <w:rPr>
          <w:rFonts w:ascii="DejaVu Sans" w:hAnsi="DejaVu Sans" w:eastAsia="DejaVu Sans"/>
          <w:b w:val="0"/>
          <w:i/>
          <w:color w:val="5E6A70"/>
          <w:sz w:val="14"/>
        </w:rPr>
        <w:t>Source: active Staff Roster, Corrigwell credential archive, leadership chart, and controlling matrix; recomputed</w:t>
      </w:r>
    </w:p>
    <w:p>
      <w:pPr>
        <w:widowControl/>
      </w:pPr>
      <w:r>
        <w:br w:type="page"/>
      </w:r>
    </w:p>
    <w:p>
      <w:pPr>
        <w:keepNext/>
        <w:spacing w:before="100" w:after="100" w:line="240" w:lineRule="auto"/>
        <w:widowControl/>
        <w:pBdr>
          <w:bottom w:val="single" w:sz="14" w:space="4" w:color="168C8C"/>
        </w:pBdr>
      </w:pPr>
      <w:r>
        <w:rPr>
          <w:rFonts w:ascii="DejaVu Sans" w:hAnsi="DejaVu Sans" w:eastAsia="DejaVu Sans"/>
          <w:b/>
          <w:i w:val="0"/>
          <w:color w:val="14364A"/>
          <w:sz w:val="26"/>
        </w:rPr>
        <w:t>6. JULY COMPLIANCE DEADLINE RECONCILIATION</w:t>
      </w:r>
    </w:p>
    <w:p>
      <w:pPr>
        <w:keepNext w:val="0"/>
        <w:widowControl/>
        <w:spacing w:before="0" w:after="80" w:line="254" w:lineRule="auto"/>
      </w:pPr>
      <w:r>
        <w:rPr>
          <w:rFonts w:ascii="DejaVu Sans" w:hAnsi="DejaVu Sans" w:eastAsia="DejaVu Sans"/>
          <w:b w:val="0"/>
          <w:i w:val="0"/>
          <w:color w:val="24333C"/>
          <w:sz w:val="18"/>
        </w:rPr>
        <w:t>External correspondence governs the obligation; the July 1, 2026 Deadline Coordination Memo governs internal calendar ownership. The CAP's status labels are not treated as immutable July 1 facts because the document contains activity dated after July 1, 2026 without version history.</w:t>
      </w:r>
    </w:p>
    <w:tbl>
      <w:tblPr>
        <w:tblW w:type="auto" w:w="0"/>
        <w:jc w:val="center"/>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1762"/>
        <w:gridCol w:w="1762"/>
        <w:gridCol w:w="1762"/>
        <w:gridCol w:w="1762"/>
        <w:gridCol w:w="1762"/>
        <w:gridCol w:w="1762"/>
      </w:tblGrid>
      <w:tr>
        <w:trPr>
          <w:tblHeader w:val="true"/>
          <w:cantSplit/>
        </w:trPr>
        <w:tc>
          <w:tcPr>
            <w:tcW w:type="dxa" w:w="1555"/>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Deadline / status</w:t>
            </w:r>
          </w:p>
        </w:tc>
        <w:tc>
          <w:tcPr>
            <w:tcW w:type="dxa" w:w="161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Clock and basis</w:t>
            </w:r>
          </w:p>
        </w:tc>
        <w:tc>
          <w:tcPr>
            <w:tcW w:type="dxa" w:w="1655"/>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Operational owner</w:t>
            </w:r>
          </w:p>
        </w:tc>
        <w:tc>
          <w:tcPr>
            <w:tcW w:type="dxa" w:w="223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July 1 feasibility</w:t>
            </w:r>
          </w:p>
        </w:tc>
        <w:tc>
          <w:tcPr>
            <w:tcW w:type="dxa" w:w="2088"/>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Dated reconciliation</w:t>
            </w:r>
          </w:p>
        </w:tc>
        <w:tc>
          <w:tcPr>
            <w:tcW w:type="dxa" w:w="2808"/>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Direct source</w:t>
            </w:r>
          </w:p>
        </w:tc>
      </w:tr>
      <w:tr>
        <w:trPr>
          <w:cantSplit/>
        </w:trPr>
        <w:tc>
          <w:tcPr>
            <w:tcW w:type="dxa" w:w="1555"/>
            <w:shd w:fill="A63B32"/>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FFFFFF"/>
                <w:sz w:val="12"/>
              </w:rPr>
              <w:t>JULY 2, 2026</w:t>
            </w:r>
          </w:p>
          <w:p>
            <w:pPr>
              <w:keepNext w:val="0"/>
              <w:spacing w:before="0" w:after="0" w:line="240" w:lineRule="auto"/>
            </w:pPr>
            <w:r>
              <w:rPr>
                <w:rFonts w:ascii="DejaVu Sans" w:hAnsi="DejaVu Sans" w:eastAsia="DejaVu Sans"/>
                <w:b/>
                <w:i w:val="0"/>
                <w:color w:val="FFFFFF"/>
                <w:sz w:val="12"/>
              </w:rPr>
              <w:t>AT RISK / NOT PROVED</w:t>
            </w:r>
          </w:p>
        </w:tc>
        <w:tc>
          <w:tcPr>
            <w:tcW w:type="dxa" w:w="1612"/>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Great Pines Mutual underwriting. August 1, 2026 policy anniversary - 30 elapsed days = July 2, 2026. One elapsed day remained on July 1, 2026.</w:t>
            </w:r>
          </w:p>
        </w:tc>
        <w:tc>
          <w:tcPr>
            <w:tcW w:type="dxa" w:w="1655"/>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Priya Natarajan, Director of Risk and Compliance, owns the underwriting calendar; Suzanne Pell is transmitting broker.</w:t>
            </w:r>
          </w:p>
        </w:tc>
        <w:tc>
          <w:tcPr>
            <w:tcW w:type="dxa" w:w="2232"/>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Not demonstrably achievable as a complete packet on July 1, 2026. Broker planned to hold the questionnaire until after July 15, 2026; no questionnaire, contemporaneous loss runs, transmission manifest, receipt, or written waiver is present. CAP Action 7 proves briefing, not the carrier's full requested packet.</w:t>
            </w:r>
          </w:p>
        </w:tc>
        <w:tc>
          <w:tcPr>
            <w:tcW w:type="dxa" w:w="2088"/>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A working note says a packet went June 30, 2026, but July 22, 2026-valued loss runs and an August 5, 2026 questionnaire plan show the complete July 2 packet is unproved. Great Pines proceeded without a coverage consequence at the August 1, 2026 anniversary, which does not cure the evidentiary gap.</w:t>
            </w:r>
          </w:p>
        </w:tc>
        <w:tc>
          <w:tcPr>
            <w:tcW w:type="dxa" w:w="2808"/>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(Insurance and Claims/Carrier Renewal Questionnaire Cover Letter 2026.pdf) (Insurance and Claims/Certificate of Insurance 2026.pdf) (Camp Administration/Deadline Coordination Memo 2026.docx) (Insurance and Claims/Broker Finding Notification Letter 2026.pdf) (Corporate Risk and Compliance/Corrective Action Plan 2026.docx) (Corporate Risk and Compliance/deadline reconciliation notes.md) (Insurance and Claims/underwriting call notes.md)</w:t>
            </w:r>
          </w:p>
        </w:tc>
      </w:tr>
      <w:tr>
        <w:trPr>
          <w:cantSplit/>
        </w:trPr>
        <w:tc>
          <w:tcPr>
            <w:tcW w:type="dxa" w:w="1555"/>
            <w:shd w:fill="397353"/>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FFFFFF"/>
                <w:sz w:val="12"/>
              </w:rPr>
              <w:t>JULY 15, 2026</w:t>
            </w:r>
          </w:p>
          <w:p>
            <w:pPr>
              <w:keepNext w:val="0"/>
              <w:spacing w:before="0" w:after="0" w:line="240" w:lineRule="auto"/>
            </w:pPr>
            <w:r>
              <w:rPr>
                <w:rFonts w:ascii="DejaVu Sans" w:hAnsi="DejaVu Sans" w:eastAsia="DejaVu Sans"/>
                <w:b/>
                <w:i w:val="0"/>
                <w:color w:val="FFFFFF"/>
                <w:sz w:val="12"/>
              </w:rPr>
              <w:t>FEASIBLE; RECEIVED JULY 14</w:t>
            </w:r>
          </w:p>
        </w:tc>
        <w:tc>
          <w:tcPr>
            <w:tcW w:type="dxa" w:w="1612"/>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Bureau license renewal. Fixed date; July 15, 2026 - July 1, 2026 = 14 elapsed days.</w:t>
            </w:r>
          </w:p>
        </w:tc>
        <w:tc>
          <w:tcPr>
            <w:tcW w:type="dxa" w:w="1655"/>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Lindsay M. Booker owns the calendar; Priya Natarajan assembles/files; Harold J. Brennan is applicant/signatory.</w:t>
            </w:r>
          </w:p>
        </w:tc>
        <w:tc>
          <w:tcPr>
            <w:tcW w:type="dxa" w:w="2232"/>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Feasible. The requirement was an accurate status disclosure, not CAP closure. CAP-2026-01 opened June 29, 2026, so 'in progress' was accurate.</w:t>
            </w:r>
          </w:p>
        </w:tc>
        <w:tc>
          <w:tcPr>
            <w:tcW w:type="dxa" w:w="2088"/>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The Bureau-stamped application was received July 14, 2026, one day before the deadline, and marked complete. The visible signature line is blank, but Bureau acceptance governs operational filing status.</w:t>
            </w:r>
          </w:p>
        </w:tc>
        <w:tc>
          <w:tcPr>
            <w:tcW w:type="dxa" w:w="2808"/>
            <w:shd w:fill="EAF3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(State Licensing/State Finding Letter - Corrigwell 2026.pdf) (State Licensing/Youth Camp License Renewal Application 2026.pdf) (Camp Administration/Deadline Coordination Memo 2026.docx) (Corporate Risk and Compliance/Corrective Action Plan 2026.docx)</w:t>
            </w:r>
          </w:p>
        </w:tc>
      </w:tr>
      <w:tr>
        <w:trPr>
          <w:cantSplit/>
        </w:trPr>
        <w:tc>
          <w:tcPr>
            <w:tcW w:type="dxa" w:w="1555"/>
            <w:shd w:fill="C7632E"/>
            <w:vAlign w:val="top"/>
            <w:tcMar>
              <w:top w:w="70" w:type="dxa"/>
              <w:start w:w="80" w:type="dxa"/>
              <w:bottom w:w="70" w:type="dxa"/>
              <w:end w:w="80" w:type="dxa"/>
            </w:tcMar>
          </w:tcPr>
          <w:p>
            <w:pPr>
              <w:keepNext w:val="0"/>
              <w:spacing w:before="0" w:after="40" w:line="240" w:lineRule="auto"/>
            </w:pPr>
            <w:r/>
            <w:r>
              <w:rPr>
                <w:rFonts w:ascii="DejaVu Sans" w:hAnsi="DejaVu Sans" w:eastAsia="DejaVu Sans"/>
                <w:b/>
                <w:i w:val="0"/>
                <w:color w:val="FFFFFF"/>
                <w:sz w:val="12"/>
              </w:rPr>
              <w:t>JULY 30, 2026</w:t>
            </w:r>
          </w:p>
          <w:p>
            <w:pPr>
              <w:keepNext w:val="0"/>
              <w:spacing w:before="0" w:after="0" w:line="240" w:lineRule="auto"/>
            </w:pPr>
            <w:r>
              <w:rPr>
                <w:rFonts w:ascii="DejaVu Sans" w:hAnsi="DejaVu Sans" w:eastAsia="DejaVu Sans"/>
                <w:b/>
                <w:i w:val="0"/>
                <w:color w:val="FFFFFF"/>
                <w:sz w:val="12"/>
              </w:rPr>
              <w:t>STATUS FEASIBLE; CLOSURE NOT FEASIBLE</w:t>
            </w:r>
          </w:p>
        </w:tc>
        <w:tc>
          <w:tcPr>
            <w:tcW w:type="dxa" w:w="1612"/>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Bureau CAP response. June 15, 2026 + 45 elapsed days = July 30, 2026; 29 elapsed days remained on July 1, 2026.</w:t>
            </w:r>
          </w:p>
        </w:tc>
        <w:tc>
          <w:tcPr>
            <w:tcW w:type="dxa" w:w="1655"/>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Raquel I. Delgado owns the operational calendar; Priya Natarajan owns the CAP and Bureau filing; Carmen P. Yee and Delgado own reassessment.</w:t>
            </w:r>
          </w:p>
        </w:tc>
        <w:tc>
          <w:tcPr>
            <w:tcW w:type="dxa" w:w="2232"/>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A plan/status response was feasible. Full implementation and closure were not feasible under the written CAP: leadership training was due July 31, 2026 and the six-site sweep August 7, 2026, after the July 30, 2026 external deadline.</w:t>
            </w:r>
          </w:p>
        </w:tc>
        <w:tc>
          <w:tcPr>
            <w:tcW w:type="dxa" w:w="208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The July 14, 2026 filing marked CAP-2026-01 'in progress.' Later minutes say the evidence package would go August 12, 2026. No July 30 response, receipt, extension, or closure notice is present. [CORPUS GAP]</w:t>
            </w:r>
          </w:p>
        </w:tc>
        <w:tc>
          <w:tcPr>
            <w:tcW w:type="dxa" w:w="280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2"/>
              </w:rPr>
              <w:t>(State Licensing/State Finding Letter - Corrigwell 2026.pdf) (Corporate Risk and Compliance/Corrective Action Plan 2026.docx) (Camp Administration/Deadline Coordination Memo 2026.docx) (State Licensing/Youth Camp License Renewal Application 2026.pdf) (Camp Administration/Aquatics Leadership Meeting Minutes 2022-2026.docx)</w:t>
            </w:r>
          </w:p>
        </w:tc>
      </w:tr>
    </w:tbl>
    <w:p>
      <w:pPr>
        <w:keepNext w:val="0"/>
        <w:widowControl/>
        <w:spacing w:before="60" w:after="140" w:line="240" w:lineRule="auto"/>
      </w:pPr>
      <w:r>
        <w:rPr>
          <w:rFonts w:ascii="DejaVu Sans" w:hAnsi="DejaVu Sans" w:eastAsia="DejaVu Sans"/>
          <w:b/>
          <w:i w:val="0"/>
          <w:color w:val="0D6568"/>
          <w:sz w:val="14"/>
        </w:rPr>
        <w:t xml:space="preserve">Table 8. Three independent July 2026 compliance clocks, owners, and feasibility. </w:t>
      </w:r>
      <w:r>
        <w:rPr>
          <w:rFonts w:ascii="DejaVu Sans" w:hAnsi="DejaVu Sans" w:eastAsia="DejaVu Sans"/>
          <w:b w:val="0"/>
          <w:i/>
          <w:color w:val="5E6A70"/>
          <w:sz w:val="14"/>
        </w:rPr>
        <w:t>Source: direct carrier and Bureau correspondence; July 1 Deadline Coordination Memo; row-level files cited</w:t>
      </w:r>
    </w:p>
    <w:p>
      <w:pPr>
        <w:keepNext/>
        <w:widowControl/>
        <w:spacing w:before="100" w:after="60" w:line="240" w:lineRule="auto"/>
      </w:pPr>
      <w:r>
        <w:rPr>
          <w:rFonts w:ascii="DejaVu Sans" w:hAnsi="DejaVu Sans" w:eastAsia="DejaVu Sans"/>
          <w:b/>
          <w:i w:val="0"/>
          <w:color w:val="0D6568"/>
          <w:sz w:val="20"/>
        </w:rPr>
        <w:t>Timing and Ownership Risks</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The July 2 carrier deadline is a due date, not a window opening. Internal documents using 'window opens' are subordinate to the carrier's 'no later than' instruction. (Insurance and Claims/Carrier Renewal Questionnaire Cover Letter 2026.pdf)</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The July 15 renewal intentionally precedes the July 30 CAP response, so an accurate in-progress disclosure is not itself noncompliance. (State Licensing/State Finding Letter - Corrigwell 2026.pdf) (State Licensing/Youth Camp License Renewal Application 2026.pdf)</w:t>
      </w:r>
    </w:p>
    <w:p>
      <w:pPr>
        <w:keepNext w:val="0"/>
        <w:widowControl/>
        <w:spacing w:before="0" w:after="40" w:line="250" w:lineRule="auto"/>
        <w:ind w:left="274" w:hanging="187"/>
      </w:pPr>
      <w:r>
        <w:rPr>
          <w:rFonts w:ascii="DejaVu Sans" w:hAnsi="DejaVu Sans" w:eastAsia="DejaVu Sans"/>
          <w:b/>
          <w:i w:val="0"/>
          <w:color w:val="0D6568"/>
          <w:sz w:val="17"/>
        </w:rPr>
        <w:t xml:space="preserve">- </w:t>
      </w:r>
      <w:r>
        <w:rPr>
          <w:rFonts w:ascii="DejaVu Sans" w:hAnsi="DejaVu Sans" w:eastAsia="DejaVu Sans"/>
          <w:b w:val="0"/>
          <w:i w:val="0"/>
          <w:color w:val="24333C"/>
          <w:sz w:val="17"/>
        </w:rPr>
        <w:t>Priya Natarajan carries both underwriting and CAP filing responsibility, concentrating work during Session 2. Raquel Delgado controls the corrective-action operational calendar. (Camp Administration/Deadline Coordination Memo 2026.docx) (Corporate Risk and Compliance/Corrective Action Plan 2026.docx)</w:t>
      </w:r>
    </w:p>
    <w:p>
      <w:pPr>
        <w:widowControl/>
      </w:pPr>
      <w:r>
        <w:br w:type="page"/>
      </w:r>
    </w:p>
    <w:p>
      <w:pPr>
        <w:keepNext/>
        <w:spacing w:before="100" w:after="100" w:line="240" w:lineRule="auto"/>
        <w:widowControl/>
        <w:pBdr>
          <w:bottom w:val="single" w:sz="14" w:space="4" w:color="168C8C"/>
        </w:pBdr>
      </w:pPr>
      <w:r>
        <w:rPr>
          <w:rFonts w:ascii="DejaVu Sans" w:hAnsi="DejaVu Sans" w:eastAsia="DejaVu Sans"/>
          <w:b/>
          <w:i w:val="0"/>
          <w:color w:val="14364A"/>
          <w:sz w:val="26"/>
        </w:rPr>
        <w:t>7. REQUIRED CONTROL ACTIONS AND ATTESTATION</w:t>
      </w:r>
    </w:p>
    <w:tbl>
      <w:tblPr>
        <w:tblW w:type="auto" w:w="0"/>
        <w:jc w:val="center"/>
        <w:tblLayout w:type="fixed"/>
        <w:tblLook w:firstColumn="1" w:firstRow="1" w:lastColumn="0" w:lastRow="0" w:noHBand="0" w:noVBand="1" w:val="04A0"/>
        <w:tblBorders>
          <w:top w:val="single" w:sz="4" w:space="0" w:color="C8D2D7"/>
          <w:left w:val="single" w:sz="4" w:space="0" w:color="C8D2D7"/>
          <w:bottom w:val="single" w:sz="4" w:space="0" w:color="C8D2D7"/>
          <w:right w:val="single" w:sz="4" w:space="0" w:color="C8D2D7"/>
          <w:insideH w:val="single" w:sz="4" w:space="0" w:color="C8D2D7"/>
          <w:insideV w:val="single" w:sz="4" w:space="0" w:color="C8D2D7"/>
        </w:tblBorders>
      </w:tblPr>
      <w:tblGrid>
        <w:gridCol w:w="1762"/>
        <w:gridCol w:w="1762"/>
        <w:gridCol w:w="1762"/>
        <w:gridCol w:w="1762"/>
        <w:gridCol w:w="1762"/>
        <w:gridCol w:w="1762"/>
      </w:tblGrid>
      <w:tr>
        <w:trPr>
          <w:tblHeader w:val="true"/>
          <w:cantSplit/>
        </w:trPr>
        <w:tc>
          <w:tcPr>
            <w:tcW w:type="dxa" w:w="403"/>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w:t>
            </w:r>
          </w:p>
        </w:tc>
        <w:tc>
          <w:tcPr>
            <w:tcW w:type="dxa" w:w="1368"/>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Control</w:t>
            </w:r>
          </w:p>
        </w:tc>
        <w:tc>
          <w:tcPr>
            <w:tcW w:type="dxa" w:w="3384"/>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Required action</w:t>
            </w:r>
          </w:p>
        </w:tc>
        <w:tc>
          <w:tcPr>
            <w:tcW w:type="dxa" w:w="1655"/>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Owner</w:t>
            </w:r>
          </w:p>
        </w:tc>
        <w:tc>
          <w:tcPr>
            <w:tcW w:type="dxa" w:w="1512"/>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Absolute timing</w:t>
            </w:r>
          </w:p>
        </w:tc>
        <w:tc>
          <w:tcPr>
            <w:tcW w:type="dxa" w:w="2188"/>
            <w:shd w:fill="14364A"/>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FFFFFF"/>
                <w:sz w:val="14"/>
              </w:rPr>
              <w:t>Direct source</w:t>
            </w:r>
          </w:p>
        </w:tc>
      </w:tr>
      <w:tr>
        <w:trPr>
          <w:cantSplit/>
        </w:trPr>
        <w:tc>
          <w:tcPr>
            <w:tcW w:type="dxa" w:w="403"/>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1</w:t>
            </w:r>
          </w:p>
        </w:tc>
        <w:tc>
          <w:tcPr>
            <w:tcW w:type="dxa" w:w="136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Enrollment and reassessment</w:t>
            </w:r>
          </w:p>
        </w:tc>
        <w:tc>
          <w:tcPr>
            <w:tcW w:type="dxa" w:w="338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Create the named enrollment-to-roster crosswalk; identify the 30 Session 3 missing records; capture full assessor name, qualifying credential code, validity on July 1, 2026, and ASC-2 for every reassessment.</w:t>
            </w:r>
          </w:p>
        </w:tc>
        <w:tc>
          <w:tcPr>
            <w:tcW w:type="dxa" w:w="1655"/>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Carmen P. Yee / Raquel I. Delgado</w:t>
            </w:r>
          </w:p>
        </w:tc>
        <w:tc>
          <w:tcPr>
            <w:tcW w:type="dxa" w:w="1512"/>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Before August 20, 2026</w:t>
            </w:r>
          </w:p>
        </w:tc>
        <w:tc>
          <w:tcPr>
            <w:tcW w:type="dxa" w:w="218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(Corporate Risk and Compliance/Corrective Action Plan 2026.docx) (Camp Administration/Session Enrollment Summary 2022-2026.xlsx) (Swim Classification Records/Corrigwell/2026/Corrigwell Swim Classification Roster 2026.xlsx)</w:t>
            </w:r>
          </w:p>
        </w:tc>
      </w:tr>
      <w:tr>
        <w:trPr>
          <w:cantSplit/>
        </w:trPr>
        <w:tc>
          <w:tcPr>
            <w:tcW w:type="dxa" w:w="403"/>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2</w:t>
            </w:r>
          </w:p>
        </w:tc>
        <w:tc>
          <w:tcPr>
            <w:tcW w:type="dxa" w:w="1368"/>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Operational record review</w:t>
            </w:r>
          </w:p>
        </w:tc>
        <w:tc>
          <w:tcPr>
            <w:tcW w:type="dxa" w:w="3384"/>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Investigate low-chlorine response, missing corrective retests, board-count ratio shortfalls, omitted Sunday schedules, ellipsized guard names, and incident follow-up; preserve this as a separate review from the Bureau credential case.</w:t>
            </w:r>
          </w:p>
        </w:tc>
        <w:tc>
          <w:tcPr>
            <w:tcW w:type="dxa" w:w="1655"/>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Operations Director / Risk and Compliance</w:t>
            </w:r>
          </w:p>
        </w:tc>
        <w:tc>
          <w:tcPr>
            <w:tcW w:type="dxa" w:w="1512"/>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Open on July 1, 2026</w:t>
            </w:r>
          </w:p>
        </w:tc>
        <w:tc>
          <w:tcPr>
            <w:tcW w:type="dxa" w:w="2188"/>
            <w:shd w:fill="F9EDEC"/>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(Corporate Risk and Compliance/Waterfront Standard Operating Policies.docx) (Waterfront Operations/Corrigwell/2026/Corrigwell Water Quality Log 2026.xlsx) (Waterfront Operations/Corrigwell/2026/Corrigwell Ratio Schedule 2026.xlsx) (Waterfront Operations/Corrigwell/2026/Corrigwell Incident and First Aid Log 2026.xlsx)</w:t>
            </w:r>
          </w:p>
        </w:tc>
      </w:tr>
      <w:tr>
        <w:trPr>
          <w:cantSplit/>
        </w:trPr>
        <w:tc>
          <w:tcPr>
            <w:tcW w:type="dxa" w:w="403"/>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3</w:t>
            </w:r>
          </w:p>
        </w:tc>
        <w:tc>
          <w:tcPr>
            <w:tcW w:type="dxa" w:w="1368"/>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Sibling sites</w:t>
            </w:r>
          </w:p>
        </w:tc>
        <w:tc>
          <w:tcPr>
            <w:tcW w:type="dxa" w:w="3384"/>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Do not describe four never-examined sites as passed. Obtain official roster, credential card, verification date, and ASC-2 evidence for every signer; complete examination before any clearance statement.</w:t>
            </w:r>
          </w:p>
        </w:tc>
        <w:tc>
          <w:tcPr>
            <w:tcW w:type="dxa" w:w="1655"/>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Priya Natarajan</w:t>
            </w:r>
          </w:p>
        </w:tc>
        <w:tc>
          <w:tcPr>
            <w:tcW w:type="dxa" w:w="1512"/>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As of July 1, 2026: never-examined; completion date [CORPUS GAP]</w:t>
            </w:r>
          </w:p>
        </w:tc>
        <w:tc>
          <w:tcPr>
            <w:tcW w:type="dxa" w:w="2188"/>
            <w:shd w:fill="EAF3F5"/>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(Corporate Risk and Compliance/Six-Site Credential Sweep Report 2026.docx) (Credential Records/Credential-Track Authorization Matrix.xlsx)</w:t>
            </w:r>
          </w:p>
        </w:tc>
      </w:tr>
      <w:tr>
        <w:trPr>
          <w:cantSplit/>
        </w:trPr>
        <w:tc>
          <w:tcPr>
            <w:tcW w:type="dxa" w:w="403"/>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4</w:t>
            </w:r>
          </w:p>
        </w:tc>
        <w:tc>
          <w:tcPr>
            <w:tcW w:type="dxa" w:w="136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Carrier record</w:t>
            </w:r>
          </w:p>
        </w:tc>
        <w:tc>
          <w:tcPr>
            <w:tcW w:type="dxa" w:w="338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Assemble proof of what was transmitted by July 2, 2026, including questionnaire, valued loss runs, state correspondence, staffing plan, carrier receipt, and any waiver; otherwise record the deadline as unproved rather than complete.</w:t>
            </w:r>
          </w:p>
        </w:tc>
        <w:tc>
          <w:tcPr>
            <w:tcW w:type="dxa" w:w="1655"/>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Priya Natarajan / Suzanne Pell</w:t>
            </w:r>
          </w:p>
        </w:tc>
        <w:tc>
          <w:tcPr>
            <w:tcW w:type="dxa" w:w="1512"/>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Initiate July 1, 2026</w:t>
            </w:r>
          </w:p>
        </w:tc>
        <w:tc>
          <w:tcPr>
            <w:tcW w:type="dxa" w:w="218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(Insurance and Claims/Carrier Renewal Questionnaire Cover Letter 2026.pdf) (Corporate Risk and Compliance/deadline reconciliation notes.md) (Insurance and Claims/underwriting call notes.md)</w:t>
            </w:r>
          </w:p>
        </w:tc>
      </w:tr>
      <w:tr>
        <w:trPr>
          <w:cantSplit/>
        </w:trPr>
        <w:tc>
          <w:tcPr>
            <w:tcW w:type="dxa" w:w="403"/>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5</w:t>
            </w:r>
          </w:p>
        </w:tc>
        <w:tc>
          <w:tcPr>
            <w:tcW w:type="dxa" w:w="136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Bureau CAP record</w:t>
            </w:r>
          </w:p>
        </w:tc>
        <w:tc>
          <w:tcPr>
            <w:tcW w:type="dxa" w:w="3384"/>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Locate the July 30, 2026 response, receipt, extension, or staged-implementation approval; if absent, disclose that closure evidence was not proved timely and submit the complete evidence package without overstating closure.</w:t>
            </w:r>
          </w:p>
        </w:tc>
        <w:tc>
          <w:tcPr>
            <w:tcW w:type="dxa" w:w="1655"/>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Priya Natarajan / Raquel I. Delgado</w:t>
            </w:r>
          </w:p>
        </w:tc>
        <w:tc>
          <w:tcPr>
            <w:tcW w:type="dxa" w:w="1512"/>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July 30, 2026 record reconciliation</w:t>
            </w:r>
          </w:p>
        </w:tc>
        <w:tc>
          <w:tcPr>
            <w:tcW w:type="dxa" w:w="2188"/>
            <w:shd w:fill="FBF0E8"/>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3"/>
              </w:rPr>
              <w:t>(State Licensing/State Finding Letter - Corrigwell 2026.pdf) (Corporate Risk and Compliance/Corrective Action Plan 2026.docx) (Camp Administration/Aquatics Leadership Meeting Minutes 2022-2026.docx)</w:t>
            </w:r>
          </w:p>
        </w:tc>
      </w:tr>
    </w:tbl>
    <w:p>
      <w:pPr>
        <w:keepNext w:val="0"/>
        <w:widowControl/>
        <w:spacing w:before="60" w:after="140" w:line="240" w:lineRule="auto"/>
      </w:pPr>
      <w:r>
        <w:rPr>
          <w:rFonts w:ascii="DejaVu Sans" w:hAnsi="DejaVu Sans" w:eastAsia="DejaVu Sans"/>
          <w:b/>
          <w:i w:val="0"/>
          <w:color w:val="0D6568"/>
          <w:sz w:val="14"/>
        </w:rPr>
        <w:t xml:space="preserve">Table 9. Management actions arising from the July 1, 2026 baseline. </w:t>
      </w:r>
      <w:r>
        <w:rPr>
          <w:rFonts w:ascii="DejaVu Sans" w:hAnsi="DejaVu Sans" w:eastAsia="DejaVu Sans"/>
          <w:b w:val="0"/>
          <w:i/>
          <w:color w:val="5E6A70"/>
          <w:sz w:val="14"/>
        </w:rPr>
        <w:t>Source: row-level records cited in each action</w:t>
      </w:r>
    </w:p>
    <w:p>
      <w:pPr>
        <w:keepNext/>
        <w:widowControl/>
        <w:spacing w:before="100" w:after="60" w:line="240" w:lineRule="auto"/>
      </w:pPr>
      <w:r>
        <w:rPr>
          <w:rFonts w:ascii="DejaVu Sans" w:hAnsi="DejaVu Sans" w:eastAsia="DejaVu Sans"/>
          <w:b/>
          <w:i w:val="0"/>
          <w:color w:val="0D6568"/>
          <w:sz w:val="20"/>
        </w:rPr>
        <w:t>Operations Director Attestation</w:t>
      </w:r>
    </w:p>
    <w:p>
      <w:pPr>
        <w:keepNext w:val="0"/>
        <w:widowControl/>
        <w:spacing w:before="40" w:after="240" w:line="254" w:lineRule="auto"/>
      </w:pPr>
      <w:r>
        <w:rPr>
          <w:rFonts w:ascii="DejaVu Sans" w:hAnsi="DejaVu Sans" w:eastAsia="DejaVu Sans"/>
          <w:b w:val="0"/>
          <w:i w:val="0"/>
          <w:color w:val="24333C"/>
          <w:sz w:val="18"/>
        </w:rPr>
        <w:t>I certify that this memo separates the Bureau's formal credential-authority finding from KVL's independent review of operational records; does not classify unexamined sites as passed; identifies calculations by basis; and marks unsupported conclusions as corpus gaps. The requested zero-operational-overlap conclusion is not made because the records do not support it.</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285"/>
        <w:gridCol w:w="5285"/>
      </w:tblGrid>
      <w:tr>
        <w:tc>
          <w:tcPr>
            <w:tcW w:type="dxa" w:w="5040"/>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7"/>
              </w:rPr>
              <w:t>________________________________</w:t>
            </w:r>
          </w:p>
        </w:tc>
        <w:tc>
          <w:tcPr>
            <w:tcW w:type="dxa" w:w="5040"/>
            <w:vAlign w:val="center"/>
            <w:tcMar>
              <w:top w:w="70" w:type="dxa"/>
              <w:start w:w="80" w:type="dxa"/>
              <w:bottom w:w="70" w:type="dxa"/>
              <w:end w:w="80" w:type="dxa"/>
            </w:tcMar>
          </w:tcPr>
          <w:p>
            <w:pPr>
              <w:keepNext w:val="0"/>
              <w:spacing w:before="0" w:after="0" w:line="240" w:lineRule="auto"/>
            </w:pPr>
            <w:r/>
            <w:r>
              <w:rPr>
                <w:rFonts w:ascii="DejaVu Sans" w:hAnsi="DejaVu Sans" w:eastAsia="DejaVu Sans"/>
                <w:b w:val="0"/>
                <w:i w:val="0"/>
                <w:color w:val="24333C"/>
                <w:sz w:val="17"/>
              </w:rPr>
              <w:t>July 1, 2026</w:t>
            </w:r>
          </w:p>
        </w:tc>
      </w:tr>
      <w:tr>
        <w:tc>
          <w:tcPr>
            <w:tcW w:type="dxa" w:w="5040"/>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0D6568"/>
                <w:sz w:val="15"/>
              </w:rPr>
              <w:t>Operations Director</w:t>
            </w:r>
          </w:p>
        </w:tc>
        <w:tc>
          <w:tcPr>
            <w:tcW w:type="dxa" w:w="5040"/>
            <w:vAlign w:val="center"/>
            <w:tcMar>
              <w:top w:w="70" w:type="dxa"/>
              <w:start w:w="80" w:type="dxa"/>
              <w:bottom w:w="70" w:type="dxa"/>
              <w:end w:w="80" w:type="dxa"/>
            </w:tcMar>
          </w:tcPr>
          <w:p>
            <w:pPr>
              <w:keepNext w:val="0"/>
              <w:spacing w:before="0" w:after="0" w:line="240" w:lineRule="auto"/>
            </w:pPr>
            <w:r/>
            <w:r>
              <w:rPr>
                <w:rFonts w:ascii="DejaVu Sans" w:hAnsi="DejaVu Sans" w:eastAsia="DejaVu Sans"/>
                <w:b/>
                <w:i w:val="0"/>
                <w:color w:val="0D6568"/>
                <w:sz w:val="15"/>
              </w:rPr>
              <w:t>Baseline date</w:t>
            </w:r>
          </w:p>
        </w:tc>
      </w:tr>
    </w:tbl>
    <w:sectPr w:rsidR="00FC693F" w:rsidRPr="0006063C" w:rsidSect="00034616">
      <w:headerReference w:type="default" r:id="rId9"/>
      <w:footerReference w:type="default" r:id="rId10"/>
      <w:pgSz w:w="12240" w:h="15840"/>
      <w:pgMar w:top="835" w:right="835" w:bottom="792" w:left="8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eastAsia="DejaVu Sans"/>
        <w:b/>
        <w:i w:val="0"/>
        <w:color w:val="5E6A70"/>
        <w:sz w:val="14"/>
      </w:rPr>
      <w:t xml:space="preserve">KVL CAMPS  |  CONFIDENTIAL  |  </w:t>
    </w:r>
    <w:r>
      <w:rPr>
        <w:rFonts w:ascii="DejaVu Sans" w:hAnsi="DejaVu Sans" w:eastAsia="DejaVu Sans"/>
        <w:b/>
        <w:i w:val="0"/>
        <w:color w:val="5E6A70"/>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54" w:lineRule="auto"/>
      <w:jc w:val="left"/>
      <w:pBdr>
        <w:bottom w:val="single" w:sz="8" w:space="3" w:color="168C8C"/>
      </w:pBdr>
    </w:pPr>
    <w:r>
      <w:rPr>
        <w:rFonts w:ascii="DejaVu Sans" w:hAnsi="DejaVu Sans" w:eastAsia="DejaVu Sans"/>
        <w:b/>
        <w:i w:val="0"/>
        <w:color w:val="168C8C"/>
        <w:sz w:val="19"/>
      </w:rPr>
      <w:t>KVL</w:t>
    </w:r>
    <w:r>
      <w:rPr>
        <w:rFonts w:ascii="DejaVu Sans" w:hAnsi="DejaVu Sans" w:eastAsia="DejaVu Sans"/>
        <w:b/>
        <w:i w:val="0"/>
        <w:color w:val="14364A"/>
        <w:sz w:val="19"/>
      </w:rPr>
      <w:t xml:space="preserve">  CAMPS</w:t>
    </w:r>
    <w:r>
      <w:rPr>
        <w:rFonts w:ascii="DejaVu Sans" w:hAnsi="DejaVu Sans" w:eastAsia="DejaVu Sans"/>
        <w:b/>
        <w:i w:val="0"/>
        <w:color w:val="5E6A70"/>
        <w:sz w:val="14"/>
      </w:rPr>
      <w:t xml:space="preserve">    EXECUTIVE COMPLIANCE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DejaVu Sans" w:hAnsi="DejaVu Sans" w:eastAsia="DejaVu Sans"/>
      <w:color w:val="2433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VLBullet">
    <w:name w:val="KVL Bullet"/>
    <w:basedOn w:val="Normal"/>
    <w:pPr>
      <w:ind w:left="274" w:hanging="187"/>
      <w:numPr>
        <w:ilvl w:val="0"/>
        <w:numId w:val="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KVL Camps Compliance Baseline Memo</dc:title>
  <dc:subject>Swim assessment authorization, operational review, retesting, staffing, and deadlines</dc:subject>
  <dc:creator>Operations Director</dc:creator>
  <cp:keywords>KVL Camps, swim assessment, Bureau, compliance, CAP</cp:keywords>
  <dc:description>generated by python-docx</dc:description>
  <cp:lastModifiedBy/>
  <cp:revision>1</cp:revision>
  <dcterms:created xsi:type="dcterms:W3CDTF">2013-12-23T23:15:00Z</dcterms:created>
  <dcterms:modified xsi:type="dcterms:W3CDTF">2013-12-23T23:15:00Z</dcterms:modified>
  <cp:category/>
</cp:coreProperties>
</file>