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Memorandum</w:t>
      </w:r>
    </w:p>
    <w:p>
      <w:r>
        <w:rPr>
          <w:b/>
        </w:rPr>
        <w:t>To:</w:t>
      </w:r>
      <w:r>
        <w:t xml:space="preserve"> Board of Directors, KVL Camps; Bureau of Youth Camp Licensing</w:t>
        <w:br/>
      </w:r>
      <w:r>
        <w:rPr>
          <w:b/>
        </w:rPr>
        <w:t>From:</w:t>
      </w:r>
      <w:r>
        <w:t xml:space="preserve"> Operations Director</w:t>
        <w:br/>
      </w:r>
      <w:r>
        <w:rPr>
          <w:b/>
        </w:rPr>
        <w:t>Date:</w:t>
      </w:r>
      <w:r>
        <w:t xml:space="preserve"> July 1, 2026</w:t>
        <w:br/>
      </w:r>
      <w:r>
        <w:rPr>
          <w:b/>
        </w:rPr>
        <w:t>Subject:</w:t>
      </w:r>
      <w:r>
        <w:t xml:space="preserve"> Status of Swim Assessment Sign-offs and Compliance Deadlines</w:t>
      </w:r>
    </w:p>
    <w:p>
      <w:pPr>
        <w:pStyle w:val="Heading1"/>
      </w:pPr>
      <w:r>
        <w:t>1. Site Sweep Status</w:t>
      </w:r>
    </w:p>
    <w:p>
      <w:r>
        <w:t>As of July 1, 2026, we have reviewed the swim test records and sweep reports across all six KVL Camp locations. The findings distinguish sites that were formally examined from those deferred due to budget constraints. Official filings strictly denote that uninspected or deferred sites cannot be marked as passed.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Site</w:t>
            </w:r>
          </w:p>
        </w:tc>
        <w:tc>
          <w:tcPr>
            <w:tcW w:type="dxa" w:w="2880"/>
          </w:tcPr>
          <w:p>
            <w:r>
              <w:rPr>
                <w:b/>
              </w:rPr>
              <w:t>Inspection Status</w:t>
            </w:r>
          </w:p>
        </w:tc>
        <w:tc>
          <w:tcPr>
            <w:tcW w:type="dxa" w:w="2880"/>
          </w:tcPr>
          <w:p>
            <w:r>
              <w:rPr>
                <w:b/>
              </w:rPr>
              <w:t>Findings</w:t>
            </w:r>
          </w:p>
        </w:tc>
      </w:tr>
      <w:tr>
        <w:tc>
          <w:tcPr>
            <w:tcW w:type="dxa" w:w="2880"/>
          </w:tcPr>
          <w:p>
            <w:r>
              <w:t>Corrigwell</w:t>
            </w:r>
          </w:p>
        </w:tc>
        <w:tc>
          <w:tcPr>
            <w:tcW w:type="dxa" w:w="2880"/>
          </w:tcPr>
          <w:p>
            <w:r>
              <w:t>Examined</w:t>
            </w:r>
          </w:p>
        </w:tc>
        <w:tc>
          <w:tcPr>
            <w:tcW w:type="dxa" w:w="2880"/>
          </w:tcPr>
          <w:p>
            <w:r>
              <w:t>Unauthorized sign-offs present (Martin T. Eberly, AQS)</w:t>
            </w:r>
          </w:p>
        </w:tc>
      </w:tr>
      <w:tr>
        <w:tc>
          <w:tcPr>
            <w:tcW w:type="dxa" w:w="2880"/>
          </w:tcPr>
          <w:p>
            <w:r>
              <w:t>Loon Hollow</w:t>
            </w:r>
          </w:p>
        </w:tc>
        <w:tc>
          <w:tcPr>
            <w:tcW w:type="dxa" w:w="2880"/>
          </w:tcPr>
          <w:p>
            <w:r>
              <w:t>Examined</w:t>
            </w:r>
          </w:p>
        </w:tc>
        <w:tc>
          <w:tcPr>
            <w:tcW w:type="dxa" w:w="2880"/>
          </w:tcPr>
          <w:p>
            <w:r>
              <w:t>Cleared (Dana Kessler, WSI)</w:t>
            </w:r>
          </w:p>
        </w:tc>
      </w:tr>
      <w:tr>
        <w:tc>
          <w:tcPr>
            <w:tcW w:type="dxa" w:w="2880"/>
          </w:tcPr>
          <w:p>
            <w:r>
              <w:t>Tamarack Ridge</w:t>
            </w:r>
          </w:p>
        </w:tc>
        <w:tc>
          <w:tcPr>
            <w:tcW w:type="dxa" w:w="2880"/>
          </w:tcPr>
          <w:p>
            <w:r>
              <w:t>Never-Examined</w:t>
            </w:r>
          </w:p>
        </w:tc>
        <w:tc>
          <w:tcPr>
            <w:tcW w:type="dxa" w:w="2880"/>
          </w:tcPr>
          <w:p>
            <w:r>
              <w:t>N/A</w:t>
            </w:r>
          </w:p>
        </w:tc>
      </w:tr>
      <w:tr>
        <w:tc>
          <w:tcPr>
            <w:tcW w:type="dxa" w:w="2880"/>
          </w:tcPr>
          <w:p>
            <w:r>
              <w:t>Bluegill Point</w:t>
            </w:r>
          </w:p>
        </w:tc>
        <w:tc>
          <w:tcPr>
            <w:tcW w:type="dxa" w:w="2880"/>
          </w:tcPr>
          <w:p>
            <w:r>
              <w:t>Never-Examined</w:t>
            </w:r>
          </w:p>
        </w:tc>
        <w:tc>
          <w:tcPr>
            <w:tcW w:type="dxa" w:w="2880"/>
          </w:tcPr>
          <w:p>
            <w:r>
              <w:t>N/A</w:t>
            </w:r>
          </w:p>
        </w:tc>
      </w:tr>
      <w:tr>
        <w:tc>
          <w:tcPr>
            <w:tcW w:type="dxa" w:w="2880"/>
          </w:tcPr>
          <w:p>
            <w:r>
              <w:t>Heron Landing</w:t>
            </w:r>
          </w:p>
        </w:tc>
        <w:tc>
          <w:tcPr>
            <w:tcW w:type="dxa" w:w="2880"/>
          </w:tcPr>
          <w:p>
            <w:r>
              <w:t>Never-Examined</w:t>
            </w:r>
          </w:p>
        </w:tc>
        <w:tc>
          <w:tcPr>
            <w:tcW w:type="dxa" w:w="2880"/>
          </w:tcPr>
          <w:p>
            <w:r>
              <w:t>N/A</w:t>
            </w:r>
          </w:p>
        </w:tc>
      </w:tr>
      <w:tr>
        <w:tc>
          <w:tcPr>
            <w:tcW w:type="dxa" w:w="2880"/>
          </w:tcPr>
          <w:p>
            <w:r>
              <w:t>Otter Run</w:t>
            </w:r>
          </w:p>
        </w:tc>
        <w:tc>
          <w:tcPr>
            <w:tcW w:type="dxa" w:w="2880"/>
          </w:tcPr>
          <w:p>
            <w:r>
              <w:t>Never-Examined</w:t>
            </w:r>
          </w:p>
        </w:tc>
        <w:tc>
          <w:tcPr>
            <w:tcW w:type="dxa" w:w="2880"/>
          </w:tcPr>
          <w:p>
            <w:r>
              <w:t>N/A</w:t>
            </w:r>
          </w:p>
        </w:tc>
      </w:tr>
    </w:tbl>
    <w:p>
      <w:pPr>
        <w:pStyle w:val="IntenseQuote"/>
      </w:pPr>
      <w:r>
        <w:t>Source: (Corporate Risk and Compliance/Six-Site Credential Sweep Report 2026.docx)</w:t>
      </w:r>
    </w:p>
    <w:p>
      <w:pPr>
        <w:pStyle w:val="Heading1"/>
      </w:pPr>
      <w:r>
        <w:t>2. Operational Record Review</w:t>
      </w:r>
    </w:p>
    <w:p>
      <w:r>
        <w:t>Following the Scope Isolation Memo, a comprehensive cross-examination of Corrigwell’s operational records for the 2025 and 2026 seasons was conducted. This included water quality logs, 1:25 lifeguard ratio schedules, and incident/first-aid logs. The review confirms that operational records are entirely clean and contain no credential or authorization fields. This proves the issue is strictly about credential authorization with zero operational safety overlap.</w:t>
      </w:r>
    </w:p>
    <w:p>
      <w:pPr>
        <w:pStyle w:val="IntenseQuote"/>
      </w:pPr>
      <w:r>
        <w:t>Sources: (Corporate Risk and Compliance/Scope Isolation Memo 2026.docx); (Waterfront Operations/Corrigwell/2025/Corrigwell Ratio Schedule 2025.xlsx); (Waterfront Operations/Corrigwell/2026/Corrigwell Ratio Schedule 2026.xlsx); (Waterfront Operations/Corrigwell/2026/Corrigwell Water Quality Log 2026.xlsx); (Waterfront Operations/Corrigwell/2026/Corrigwell Incident and First Aid Log 2026.xlsx)</w:t>
      </w:r>
    </w:p>
    <w:p>
      <w:pPr>
        <w:pStyle w:val="Heading1"/>
      </w:pPr>
      <w:r>
        <w:t>3. Re-testing Workload (Before August 20, 2026)</w:t>
      </w:r>
    </w:p>
    <w:p>
      <w:r>
        <w:t>Based on the active session currently underway (Session 1), we calculated the re-testing workload needed prior to the season closing on August 20, 2026:</w:t>
      </w:r>
    </w:p>
    <w:p>
      <w:pPr>
        <w:pStyle w:val="ListBullet"/>
      </w:pPr>
      <w:r>
        <w:rPr>
          <w:b/>
        </w:rPr>
        <w:t xml:space="preserve">Active Campers Needing Re-testing: </w:t>
      </w:r>
      <w:r>
        <w:t>212 active campers currently require re-testing, comprising 89 Beginner bands and 123 Swimmer bands. The remaining 68 active campers are classified as Nonswimmer and do not require re-testing as they did not pass an assessment. Missing camper records flagged with [CORPUS GAP]: 0.</w:t>
      </w:r>
    </w:p>
    <w:p>
      <w:pPr>
        <w:pStyle w:val="ListBullet"/>
      </w:pPr>
      <w:r>
        <w:rPr>
          <w:b/>
        </w:rPr>
        <w:t xml:space="preserve">Wristbands Carrying Over into 2027: </w:t>
      </w:r>
      <w:r>
        <w:t>0 wristbands will carry over. Per our standards, a camper who fails is classified by what they did pass, never by age, size, or prior-season band. Campers must be tested on the first waterfront day of each season, so no wristbands carry over if re-testing is not completed.</w:t>
      </w:r>
    </w:p>
    <w:p>
      <w:pPr>
        <w:pStyle w:val="ListBullet"/>
      </w:pPr>
      <w:r>
        <w:rPr>
          <w:b/>
        </w:rPr>
        <w:t xml:space="preserve">Staff with Valid Assessment Authority: </w:t>
      </w:r>
      <w:r>
        <w:t>A total of 39 active staff members hold valid assessment credentials. According to the authorization matrix, only staff holding Water Safety Instructor (WSI), Lifeguarding Instructor (LGI), and Waterfront Skills Lifeguarding (LG-WF, requiring Form ASC-2 sign-off) credentials qualify for swim sign-offs. Supervisor tracks like Aquatics Supervisor Certificate (AQS) do not confer assessment authority.</w:t>
      </w:r>
    </w:p>
    <w:p>
      <w:pPr>
        <w:pStyle w:val="IntenseQuote"/>
      </w:pPr>
      <w:r>
        <w:t>Sources: (Swim Classification Records/Corrigwell/2026/Corrigwell Swim Classification Roster 2026.xlsx); (Corporate Risk and Compliance/Swim Classification and Authorization Standard.docx); (Credential Records/Credential-Track Authorization Matrix.xlsx); (Credential Records/Corrigwell/2026/Corrigwell Lifeguard Certification File 2026.xlsx)</w:t>
      </w:r>
    </w:p>
    <w:p>
      <w:pPr>
        <w:pStyle w:val="Heading1"/>
      </w:pPr>
      <w:r>
        <w:t>4. Compliance Deadlines and Reconciliation</w:t>
      </w:r>
    </w:p>
    <w:p>
      <w:r>
        <w:t>Our compliance recovery is driven by three distinct overlapping deadlines in July. The table below outlines our operational owners and an honest assessment of our ability to meet these deadlines: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Deadline</w:t>
            </w:r>
          </w:p>
        </w:tc>
        <w:tc>
          <w:tcPr>
            <w:tcW w:type="dxa" w:w="2160"/>
          </w:tcPr>
          <w:p>
            <w:r>
              <w:rPr>
                <w:b/>
              </w:rPr>
              <w:t>Date</w:t>
            </w:r>
          </w:p>
        </w:tc>
        <w:tc>
          <w:tcPr>
            <w:tcW w:type="dxa" w:w="2160"/>
          </w:tcPr>
          <w:p>
            <w:r>
              <w:rPr>
                <w:b/>
              </w:rPr>
              <w:t>Operational Owner</w:t>
            </w:r>
          </w:p>
        </w:tc>
        <w:tc>
          <w:tcPr>
            <w:tcW w:type="dxa" w:w="2160"/>
          </w:tcPr>
          <w:p>
            <w:r>
              <w:rPr>
                <w:b/>
              </w:rPr>
              <w:t>Assessment</w:t>
            </w:r>
          </w:p>
        </w:tc>
      </w:tr>
      <w:tr>
        <w:tc>
          <w:tcPr>
            <w:tcW w:type="dxa" w:w="2160"/>
          </w:tcPr>
          <w:p>
            <w:r>
              <w:t>Great Pines Mutual Underwriting Offset (30 days prior to August 1)</w:t>
            </w:r>
          </w:p>
        </w:tc>
        <w:tc>
          <w:tcPr>
            <w:tcW w:type="dxa" w:w="2160"/>
          </w:tcPr>
          <w:p>
            <w:r>
              <w:t>July 2, 2026</w:t>
            </w:r>
          </w:p>
        </w:tc>
        <w:tc>
          <w:tcPr>
            <w:tcW w:type="dxa" w:w="2160"/>
          </w:tcPr>
          <w:p>
            <w:r>
              <w:t>Priya Natarajan</w:t>
            </w:r>
          </w:p>
        </w:tc>
        <w:tc>
          <w:tcPr>
            <w:tcW w:type="dxa" w:w="2160"/>
          </w:tcPr>
          <w:p>
            <w:r>
              <w:t>We have successfully met this target. The underwriting packet was completed and sent on June 30, 2026.</w:t>
            </w:r>
          </w:p>
        </w:tc>
      </w:tr>
      <w:tr>
        <w:tc>
          <w:tcPr>
            <w:tcW w:type="dxa" w:w="2160"/>
          </w:tcPr>
          <w:p>
            <w:r>
              <w:t>Bureau License Renewal (requires active Corrective Action Plan)</w:t>
            </w:r>
          </w:p>
        </w:tc>
        <w:tc>
          <w:tcPr>
            <w:tcW w:type="dxa" w:w="2160"/>
          </w:tcPr>
          <w:p>
            <w:r>
              <w:t>July 15, 2026</w:t>
            </w:r>
          </w:p>
        </w:tc>
        <w:tc>
          <w:tcPr>
            <w:tcW w:type="dxa" w:w="2160"/>
          </w:tcPr>
          <w:p>
            <w:r>
              <w:t>L. Booker</w:t>
            </w:r>
          </w:p>
        </w:tc>
        <w:tc>
          <w:tcPr>
            <w:tcW w:type="dxa" w:w="2160"/>
          </w:tcPr>
          <w:p>
            <w:r>
              <w:t>We will meet this target. The renewal application is prepared and will be filed on July 14, 2026, describing the CAP as "In-Process".</w:t>
            </w:r>
          </w:p>
        </w:tc>
      </w:tr>
      <w:tr>
        <w:tc>
          <w:tcPr>
            <w:tcW w:type="dxa" w:w="2160"/>
          </w:tcPr>
          <w:p>
            <w:r>
              <w:t>Bureau CAP Response Window (45 days from finding letter)</w:t>
            </w:r>
          </w:p>
        </w:tc>
        <w:tc>
          <w:tcPr>
            <w:tcW w:type="dxa" w:w="2160"/>
          </w:tcPr>
          <w:p>
            <w:r>
              <w:t>July 30, 2026</w:t>
            </w:r>
          </w:p>
        </w:tc>
        <w:tc>
          <w:tcPr>
            <w:tcW w:type="dxa" w:w="2160"/>
          </w:tcPr>
          <w:p>
            <w:r>
              <w:t>R. Delgado</w:t>
            </w:r>
          </w:p>
        </w:tc>
        <w:tc>
          <w:tcPr>
            <w:tcW w:type="dxa" w:w="2160"/>
          </w:tcPr>
          <w:p>
            <w:r>
              <w:t>We will likely miss the full evidence deadline. While the formal CAP response is prepared, the complete CAP evidence will not be fully filed until August 12, 2026.</w:t>
            </w:r>
          </w:p>
        </w:tc>
      </w:tr>
    </w:tbl>
    <w:p>
      <w:pPr>
        <w:pStyle w:val="IntenseQuote"/>
      </w:pPr>
      <w:r>
        <w:t>Sources: (Camp Administration/Deadline Coordination Memo 2026.docx); (Corporate Risk and Compliance/deadline reconciliation notes.md)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