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Board of Directors and Bureau of Youth Camp Licensing</w:t>
        <w:br/>
        <w:t>FROM: Operations Director</w:t>
        <w:br/>
        <w:t>DATE: July 1, 2026</w:t>
        <w:br/>
        <w:t>SUBJECT: KVL Camps Swim Assessment Compliance and Re-Testing Status</w:t>
      </w:r>
    </w:p>
    <w:p>
      <w:pPr>
        <w:pStyle w:val="Heading1"/>
      </w:pPr>
      <w:r>
        <w:t>1. Site Sweep and Assessment Sign-Off Compliance</w:t>
      </w:r>
    </w:p>
    <w:p>
      <w:r>
        <w:t>A comprehensive sweep was conducted of all six camp locations to review swim test records against authorization rules. The findings are separated into sites that were examined (passed or unauthorized) and those that were deferred (never-examined) due to risk budget constraints. Note that uninspected or deferred sites cannot be marked as passed.</w:t>
      </w:r>
    </w:p>
    <w:tbl>
      <w:tblPr>
        <w:tblStyle w:val="TableGrid"/>
        <w:tblW w:type="auto" w:w="0"/>
        <w:tblLook w:firstColumn="1" w:firstRow="1" w:lastColumn="0" w:lastRow="0" w:noHBand="0" w:noVBand="1" w:val="04A0"/>
      </w:tblPr>
      <w:tblGrid>
        <w:gridCol w:w="2880"/>
        <w:gridCol w:w="2880"/>
        <w:gridCol w:w="2880"/>
      </w:tblGrid>
      <w:tr>
        <w:tc>
          <w:tcPr>
            <w:tcW w:type="dxa" w:w="2880"/>
          </w:tcPr>
          <w:p>
            <w:r>
              <w:t>Site</w:t>
            </w:r>
          </w:p>
        </w:tc>
        <w:tc>
          <w:tcPr>
            <w:tcW w:type="dxa" w:w="2880"/>
          </w:tcPr>
          <w:p>
            <w:r>
              <w:t>Inspection Status</w:t>
            </w:r>
          </w:p>
        </w:tc>
        <w:tc>
          <w:tcPr>
            <w:tcW w:type="dxa" w:w="2880"/>
          </w:tcPr>
          <w:p>
            <w:r>
              <w:t>Sign-Off Authorization</w:t>
            </w:r>
          </w:p>
        </w:tc>
      </w:tr>
      <w:tr>
        <w:tc>
          <w:tcPr>
            <w:tcW w:type="dxa" w:w="2880"/>
          </w:tcPr>
          <w:p>
            <w:r>
              <w:t>Loon Hollow</w:t>
            </w:r>
          </w:p>
        </w:tc>
        <w:tc>
          <w:tcPr>
            <w:tcW w:type="dxa" w:w="2880"/>
          </w:tcPr>
          <w:p>
            <w:r>
              <w:t>Examined</w:t>
            </w:r>
          </w:p>
        </w:tc>
        <w:tc>
          <w:tcPr>
            <w:tcW w:type="dxa" w:w="2880"/>
          </w:tcPr>
          <w:p>
            <w:r>
              <w:t>Passed / Cleared</w:t>
            </w:r>
          </w:p>
        </w:tc>
      </w:tr>
      <w:tr>
        <w:tc>
          <w:tcPr>
            <w:tcW w:type="dxa" w:w="2880"/>
          </w:tcPr>
          <w:p>
            <w:r>
              <w:t>Corrigwell</w:t>
            </w:r>
          </w:p>
        </w:tc>
        <w:tc>
          <w:tcPr>
            <w:tcW w:type="dxa" w:w="2880"/>
          </w:tcPr>
          <w:p>
            <w:r>
              <w:t>Examined</w:t>
            </w:r>
          </w:p>
        </w:tc>
        <w:tc>
          <w:tcPr>
            <w:tcW w:type="dxa" w:w="2880"/>
          </w:tcPr>
          <w:p>
            <w:r>
              <w:t>Unauthorized</w:t>
            </w:r>
          </w:p>
        </w:tc>
      </w:tr>
      <w:tr>
        <w:tc>
          <w:tcPr>
            <w:tcW w:type="dxa" w:w="2880"/>
          </w:tcPr>
          <w:p>
            <w:r>
              <w:t>Bluegill Point</w:t>
            </w:r>
          </w:p>
        </w:tc>
        <w:tc>
          <w:tcPr>
            <w:tcW w:type="dxa" w:w="2880"/>
          </w:tcPr>
          <w:p>
            <w:r>
              <w:t>Never-Examined</w:t>
            </w:r>
          </w:p>
        </w:tc>
        <w:tc>
          <w:tcPr>
            <w:tcW w:type="dxa" w:w="2880"/>
          </w:tcPr>
          <w:p>
            <w:r>
              <w:t>Deferred to 2027</w:t>
            </w:r>
          </w:p>
        </w:tc>
      </w:tr>
      <w:tr>
        <w:tc>
          <w:tcPr>
            <w:tcW w:type="dxa" w:w="2880"/>
          </w:tcPr>
          <w:p>
            <w:r>
              <w:t>Otter Run</w:t>
            </w:r>
          </w:p>
        </w:tc>
        <w:tc>
          <w:tcPr>
            <w:tcW w:type="dxa" w:w="2880"/>
          </w:tcPr>
          <w:p>
            <w:r>
              <w:t>Never-Examined</w:t>
            </w:r>
          </w:p>
        </w:tc>
        <w:tc>
          <w:tcPr>
            <w:tcW w:type="dxa" w:w="2880"/>
          </w:tcPr>
          <w:p>
            <w:r>
              <w:t>Deferred to 2027</w:t>
            </w:r>
          </w:p>
        </w:tc>
      </w:tr>
      <w:tr>
        <w:tc>
          <w:tcPr>
            <w:tcW w:type="dxa" w:w="2880"/>
          </w:tcPr>
          <w:p>
            <w:r>
              <w:t>Heron Landing</w:t>
            </w:r>
          </w:p>
        </w:tc>
        <w:tc>
          <w:tcPr>
            <w:tcW w:type="dxa" w:w="2880"/>
          </w:tcPr>
          <w:p>
            <w:r>
              <w:t>Never-Examined</w:t>
            </w:r>
          </w:p>
        </w:tc>
        <w:tc>
          <w:tcPr>
            <w:tcW w:type="dxa" w:w="2880"/>
          </w:tcPr>
          <w:p>
            <w:r>
              <w:t>[CORPUS GAP] - Missing Roster</w:t>
            </w:r>
          </w:p>
        </w:tc>
      </w:tr>
      <w:tr>
        <w:tc>
          <w:tcPr>
            <w:tcW w:type="dxa" w:w="2880"/>
          </w:tcPr>
          <w:p>
            <w:r>
              <w:t>Tamarack Ridge</w:t>
            </w:r>
          </w:p>
        </w:tc>
        <w:tc>
          <w:tcPr>
            <w:tcW w:type="dxa" w:w="2880"/>
          </w:tcPr>
          <w:p>
            <w:r>
              <w:t>Never-Examined</w:t>
            </w:r>
          </w:p>
        </w:tc>
        <w:tc>
          <w:tcPr>
            <w:tcW w:type="dxa" w:w="2880"/>
          </w:tcPr>
          <w:p>
            <w:r>
              <w:t>[CORPUS GAP] - Missing Roster</w:t>
            </w:r>
          </w:p>
        </w:tc>
      </w:tr>
    </w:tbl>
    <w:p>
      <w:r>
        <w:t>Source: (Corporate Risk and Compliance/Six-Site Credential Sweep Report 2026.docx)</w:t>
      </w:r>
    </w:p>
    <w:p>
      <w:pPr>
        <w:pStyle w:val="Heading1"/>
      </w:pPr>
      <w:r>
        <w:t>2. Operational Record Cleanliness</w:t>
      </w:r>
    </w:p>
    <w:p>
      <w:r>
        <w:t>We executed a scope-isolation review of Corrigwell’s operational logs to ensure this issue is strictly about credential authorization, with zero operational safety overlap.</w:t>
      </w:r>
    </w:p>
    <w:tbl>
      <w:tblPr>
        <w:tblStyle w:val="TableGrid"/>
        <w:tblW w:type="auto" w:w="0"/>
        <w:tblLook w:firstColumn="1" w:firstRow="1" w:lastColumn="0" w:lastRow="0" w:noHBand="0" w:noVBand="1" w:val="04A0"/>
      </w:tblPr>
      <w:tblGrid>
        <w:gridCol w:w="2880"/>
        <w:gridCol w:w="2880"/>
        <w:gridCol w:w="2880"/>
      </w:tblGrid>
      <w:tr>
        <w:tc>
          <w:tcPr>
            <w:tcW w:type="dxa" w:w="2880"/>
          </w:tcPr>
          <w:p>
            <w:r>
              <w:t>Log Reviewed</w:t>
            </w:r>
          </w:p>
        </w:tc>
        <w:tc>
          <w:tcPr>
            <w:tcW w:type="dxa" w:w="2880"/>
          </w:tcPr>
          <w:p>
            <w:r>
              <w:t>Findings</w:t>
            </w:r>
          </w:p>
        </w:tc>
        <w:tc>
          <w:tcPr>
            <w:tcW w:type="dxa" w:w="2880"/>
          </w:tcPr>
          <w:p>
            <w:r>
              <w:t>Source</w:t>
            </w:r>
          </w:p>
        </w:tc>
      </w:tr>
      <w:tr>
        <w:tc>
          <w:tcPr>
            <w:tcW w:type="dxa" w:w="2880"/>
          </w:tcPr>
          <w:p>
            <w:r>
              <w:t>Water Quality Logs</w:t>
            </w:r>
          </w:p>
        </w:tc>
        <w:tc>
          <w:tcPr>
            <w:tcW w:type="dxa" w:w="2880"/>
          </w:tcPr>
          <w:p>
            <w:r>
              <w:t>Clean (Tested 3x daily against CDC norms, no credential data)</w:t>
            </w:r>
          </w:p>
        </w:tc>
        <w:tc>
          <w:tcPr>
            <w:tcW w:type="dxa" w:w="2880"/>
          </w:tcPr>
          <w:p>
            <w:r>
              <w:t>(Corporate Risk and Compliance/Scope Isolation Memo 2026.docx)</w:t>
            </w:r>
          </w:p>
        </w:tc>
      </w:tr>
      <w:tr>
        <w:tc>
          <w:tcPr>
            <w:tcW w:type="dxa" w:w="2880"/>
          </w:tcPr>
          <w:p>
            <w:r>
              <w:t>1:25 Lifeguard Ratio Schedules</w:t>
            </w:r>
          </w:p>
        </w:tc>
        <w:tc>
          <w:tcPr>
            <w:tcW w:type="dxa" w:w="2880"/>
          </w:tcPr>
          <w:p>
            <w:r>
              <w:t>Clean (Ratios met/exceeded at every rotation)</w:t>
            </w:r>
          </w:p>
        </w:tc>
        <w:tc>
          <w:tcPr>
            <w:tcW w:type="dxa" w:w="2880"/>
          </w:tcPr>
          <w:p>
            <w:r>
              <w:t>(Corporate Risk and Compliance/Scope Isolation Memo 2026.docx)</w:t>
            </w:r>
          </w:p>
        </w:tc>
      </w:tr>
      <w:tr>
        <w:tc>
          <w:tcPr>
            <w:tcW w:type="dxa" w:w="2880"/>
          </w:tcPr>
          <w:p>
            <w:r>
              <w:t>Incident and First Aid Reports</w:t>
            </w:r>
          </w:p>
        </w:tc>
        <w:tc>
          <w:tcPr>
            <w:tcW w:type="dxa" w:w="2880"/>
          </w:tcPr>
          <w:p>
            <w:r>
              <w:t>Clean (No serious incidents, no credential data)</w:t>
            </w:r>
          </w:p>
        </w:tc>
        <w:tc>
          <w:tcPr>
            <w:tcW w:type="dxa" w:w="2880"/>
          </w:tcPr>
          <w:p>
            <w:r>
              <w:t>(Corporate Risk and Compliance/Scope Isolation Memo 2026.docx)</w:t>
            </w:r>
          </w:p>
        </w:tc>
      </w:tr>
    </w:tbl>
    <w:p>
      <w:pPr>
        <w:pStyle w:val="Heading1"/>
      </w:pPr>
      <w:r>
        <w:t>3. Re-Testing Workload</w:t>
      </w:r>
    </w:p>
    <w:p>
      <w:r>
        <w:t>As of our July 1, 2026 baseline, only Session 1 is active. Corrigwell’s active Session 1 campers require re-testing if their bands granted them privileges based on the unauthorized sign-off.</w:t>
      </w:r>
    </w:p>
    <w:tbl>
      <w:tblPr>
        <w:tblStyle w:val="TableGrid"/>
        <w:tblW w:type="auto" w:w="0"/>
        <w:tblLook w:firstColumn="1" w:firstRow="1" w:lastColumn="0" w:lastRow="0" w:noHBand="0" w:noVBand="1" w:val="04A0"/>
      </w:tblPr>
      <w:tblGrid>
        <w:gridCol w:w="2880"/>
        <w:gridCol w:w="2880"/>
        <w:gridCol w:w="2880"/>
      </w:tblGrid>
      <w:tr>
        <w:tc>
          <w:tcPr>
            <w:tcW w:type="dxa" w:w="2880"/>
          </w:tcPr>
          <w:p>
            <w:r>
              <w:t>Band Classification</w:t>
            </w:r>
          </w:p>
        </w:tc>
        <w:tc>
          <w:tcPr>
            <w:tcW w:type="dxa" w:w="2880"/>
          </w:tcPr>
          <w:p>
            <w:r>
              <w:t>Active Session 1 Count</w:t>
            </w:r>
          </w:p>
        </w:tc>
        <w:tc>
          <w:tcPr>
            <w:tcW w:type="dxa" w:w="2880"/>
          </w:tcPr>
          <w:p>
            <w:r>
              <w:t>Requires Re-Testing</w:t>
            </w:r>
          </w:p>
        </w:tc>
      </w:tr>
      <w:tr>
        <w:tc>
          <w:tcPr>
            <w:tcW w:type="dxa" w:w="2880"/>
          </w:tcPr>
          <w:p>
            <w:r>
              <w:t>Swimmer (Green)</w:t>
            </w:r>
          </w:p>
        </w:tc>
        <w:tc>
          <w:tcPr>
            <w:tcW w:type="dxa" w:w="2880"/>
          </w:tcPr>
          <w:p>
            <w:r>
              <w:t>123</w:t>
            </w:r>
          </w:p>
        </w:tc>
        <w:tc>
          <w:tcPr>
            <w:tcW w:type="dxa" w:w="2880"/>
          </w:tcPr>
          <w:p>
            <w:r>
              <w:t>Yes</w:t>
            </w:r>
          </w:p>
        </w:tc>
      </w:tr>
      <w:tr>
        <w:tc>
          <w:tcPr>
            <w:tcW w:type="dxa" w:w="2880"/>
          </w:tcPr>
          <w:p>
            <w:r>
              <w:t>Beginner (Yellow)</w:t>
            </w:r>
          </w:p>
        </w:tc>
        <w:tc>
          <w:tcPr>
            <w:tcW w:type="dxa" w:w="2880"/>
          </w:tcPr>
          <w:p>
            <w:r>
              <w:t>89</w:t>
            </w:r>
          </w:p>
        </w:tc>
        <w:tc>
          <w:tcPr>
            <w:tcW w:type="dxa" w:w="2880"/>
          </w:tcPr>
          <w:p>
            <w:r>
              <w:t>Yes</w:t>
            </w:r>
          </w:p>
        </w:tc>
      </w:tr>
      <w:tr>
        <w:tc>
          <w:tcPr>
            <w:tcW w:type="dxa" w:w="2880"/>
          </w:tcPr>
          <w:p>
            <w:r>
              <w:t>Nonswimmer (Red)</w:t>
            </w:r>
          </w:p>
        </w:tc>
        <w:tc>
          <w:tcPr>
            <w:tcW w:type="dxa" w:w="2880"/>
          </w:tcPr>
          <w:p>
            <w:r>
              <w:t>68</w:t>
            </w:r>
          </w:p>
        </w:tc>
        <w:tc>
          <w:tcPr>
            <w:tcW w:type="dxa" w:w="2880"/>
          </w:tcPr>
          <w:p>
            <w:r>
              <w:t>No (Default safe state)</w:t>
            </w:r>
          </w:p>
        </w:tc>
      </w:tr>
    </w:tbl>
    <w:p>
      <w:r>
        <w:t>Source: (Swim Classification Records/Corrigwell/2026/Corrigwell Swim Classification Roster 2026.xlsx)</w:t>
      </w:r>
    </w:p>
    <w:p>
      <w:r>
        <w:t>Wristbands Carrying Over to 2027: 0. "A band from a prior season does not carry over: every camper is tested every season."</w:t>
        <w:br/>
        <w:t>Source: (Swim Classification Records/Swim Test Administration Guide.docx)</w:t>
      </w:r>
    </w:p>
    <w:p>
      <w:pPr>
        <w:pStyle w:val="Heading1"/>
      </w:pPr>
      <w:r>
        <w:t>4. Staff Assessment Authority</w:t>
      </w:r>
    </w:p>
    <w:p>
      <w:r>
        <w:t>Only specific instructor-track and waterfront skills credentials qualify for swim sign-offs. We have 34 unique staff members holding valid assessment authority at Corrigwell.</w:t>
      </w:r>
    </w:p>
    <w:tbl>
      <w:tblPr>
        <w:tblStyle w:val="TableGrid"/>
        <w:tblW w:type="auto" w:w="0"/>
        <w:tblLook w:firstColumn="1" w:firstRow="1" w:lastColumn="0" w:lastRow="0" w:noHBand="0" w:noVBand="1" w:val="04A0"/>
      </w:tblPr>
      <w:tblGrid>
        <w:gridCol w:w="4320"/>
        <w:gridCol w:w="4320"/>
      </w:tblGrid>
      <w:tr>
        <w:tc>
          <w:tcPr>
            <w:tcW w:type="dxa" w:w="4320"/>
          </w:tcPr>
          <w:p>
            <w:r>
              <w:t>Qualifying Credential Roles</w:t>
            </w:r>
          </w:p>
        </w:tc>
        <w:tc>
          <w:tcPr>
            <w:tcW w:type="dxa" w:w="4320"/>
          </w:tcPr>
          <w:p>
            <w:r>
              <w:t>Count of Valid Staff</w:t>
            </w:r>
          </w:p>
        </w:tc>
      </w:tr>
      <w:tr>
        <w:tc>
          <w:tcPr>
            <w:tcW w:type="dxa" w:w="4320"/>
          </w:tcPr>
          <w:p>
            <w:r>
              <w:t>WSI, LGI, LG-WF</w:t>
            </w:r>
          </w:p>
        </w:tc>
        <w:tc>
          <w:tcPr>
            <w:tcW w:type="dxa" w:w="4320"/>
          </w:tcPr>
          <w:p>
            <w:r>
              <w:t>34</w:t>
            </w:r>
          </w:p>
        </w:tc>
      </w:tr>
    </w:tbl>
    <w:p>
      <w:r>
        <w:t>Sources: (Credential Records/Credential-Track Authorization Matrix.xlsx) and (Credential Records/Corrigwell/2026/Corrigwell Lifeguard Certification File 2026.xlsx)</w:t>
      </w:r>
    </w:p>
    <w:p>
      <w:pPr>
        <w:pStyle w:val="Heading1"/>
      </w:pPr>
      <w:r>
        <w:t>5. Deadline Reconciliation</w:t>
      </w:r>
    </w:p>
    <w:p>
      <w:r>
        <w:t>The following table reconciles our July deadlines, assigning operational owners and assessing our ability to hit them.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Requirement</w:t>
            </w:r>
          </w:p>
        </w:tc>
        <w:tc>
          <w:tcPr>
            <w:tcW w:type="dxa" w:w="2160"/>
          </w:tcPr>
          <w:p>
            <w:r>
              <w:t>Owner</w:t>
            </w:r>
          </w:p>
        </w:tc>
        <w:tc>
          <w:tcPr>
            <w:tcW w:type="dxa" w:w="2160"/>
          </w:tcPr>
          <w:p>
            <w:r>
              <w:t>Assessment</w:t>
            </w:r>
          </w:p>
        </w:tc>
      </w:tr>
      <w:tr>
        <w:tc>
          <w:tcPr>
            <w:tcW w:type="dxa" w:w="2160"/>
          </w:tcPr>
          <w:p>
            <w:r>
              <w:t>July 2, 2026</w:t>
            </w:r>
          </w:p>
        </w:tc>
        <w:tc>
          <w:tcPr>
            <w:tcW w:type="dxa" w:w="2160"/>
          </w:tcPr>
          <w:p>
            <w:r>
              <w:t>Great Pines Mutual underwriting offset</w:t>
            </w:r>
          </w:p>
        </w:tc>
        <w:tc>
          <w:tcPr>
            <w:tcW w:type="dxa" w:w="2160"/>
          </w:tcPr>
          <w:p>
            <w:r>
              <w:t>P. Natarajan</w:t>
            </w:r>
          </w:p>
        </w:tc>
        <w:tc>
          <w:tcPr>
            <w:tcW w:type="dxa" w:w="2160"/>
          </w:tcPr>
          <w:p>
            <w:r>
              <w:t>Hit (Broker/carrier briefed; action complete)</w:t>
            </w:r>
          </w:p>
        </w:tc>
      </w:tr>
      <w:tr>
        <w:tc>
          <w:tcPr>
            <w:tcW w:type="dxa" w:w="2160"/>
          </w:tcPr>
          <w:p>
            <w:r>
              <w:t>July 15, 2026</w:t>
            </w:r>
          </w:p>
        </w:tc>
        <w:tc>
          <w:tcPr>
            <w:tcW w:type="dxa" w:w="2160"/>
          </w:tcPr>
          <w:p>
            <w:r>
              <w:t>Bureau License Renewal</w:t>
            </w:r>
          </w:p>
        </w:tc>
        <w:tc>
          <w:tcPr>
            <w:tcW w:type="dxa" w:w="2160"/>
          </w:tcPr>
          <w:p>
            <w:r>
              <w:t>L. Booker</w:t>
            </w:r>
          </w:p>
        </w:tc>
        <w:tc>
          <w:tcPr>
            <w:tcW w:type="dxa" w:w="2160"/>
          </w:tcPr>
          <w:p>
            <w:r>
              <w:t>Hit (Filing marked In-Process per CAP)</w:t>
            </w:r>
          </w:p>
        </w:tc>
      </w:tr>
      <w:tr>
        <w:tc>
          <w:tcPr>
            <w:tcW w:type="dxa" w:w="2160"/>
          </w:tcPr>
          <w:p>
            <w:r>
              <w:t>July 30, 2026</w:t>
            </w:r>
          </w:p>
        </w:tc>
        <w:tc>
          <w:tcPr>
            <w:tcW w:type="dxa" w:w="2160"/>
          </w:tcPr>
          <w:p>
            <w:r>
              <w:t>Bureau CAP Response window</w:t>
            </w:r>
          </w:p>
        </w:tc>
        <w:tc>
          <w:tcPr>
            <w:tcW w:type="dxa" w:w="2160"/>
          </w:tcPr>
          <w:p>
            <w:r>
              <w:t>R. Delgado / P. Natarajan</w:t>
            </w:r>
          </w:p>
        </w:tc>
        <w:tc>
          <w:tcPr>
            <w:tcW w:type="dxa" w:w="2160"/>
          </w:tcPr>
          <w:p>
            <w:r>
              <w:t>Hit (Re-assessments due July 17)</w:t>
            </w:r>
          </w:p>
        </w:tc>
      </w:tr>
    </w:tbl>
    <w:p>
      <w:r>
        <w:t>Sources: (Camp Administration/Deadline Coordination Memo 2026.docx) and (Corporate Risk and Compliance/Corrective Action Plan 2026.docx)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