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Memorandum</w:t>
      </w:r>
    </w:p>
    <w:p>
      <w:r>
        <w:t>To: Board Risk Committee and Bureau of Youth Camp Licensing</w:t>
      </w:r>
    </w:p>
    <w:p>
      <w:r>
        <w:t>From: Operations Director</w:t>
      </w:r>
    </w:p>
    <w:p>
      <w:r>
        <w:t>Date: July 1, 2026</w:t>
      </w:r>
    </w:p>
    <w:p>
      <w:r>
        <w:t>Subject: KVL Camps Swim Assessment Authorization Compliance Status</w:t>
      </w:r>
    </w:p>
    <w:p>
      <w:pPr>
        <w:pStyle w:val="Heading1"/>
      </w:pPr>
      <w:r>
        <w:t>1. Site Sweep Summary</w:t>
      </w:r>
    </w:p>
    <w:p>
      <w:r>
        <w:t>Following the June 15, 2026 Corrigwell finding, we conducted a review of swim test records and sweep reports across all six camp locations to identify any instances where swim tests were signed off by staff without matrix authority. The table below details the inspection status and findings for each site. Note that sites not examined are deferred and cannot be marked as passed or cleared.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Inspected</w:t>
            </w:r>
          </w:p>
        </w:tc>
        <w:tc>
          <w:tcPr>
            <w:tcW w:type="dxa" w:w="2160"/>
          </w:tcPr>
          <w:p>
            <w:r>
              <w:t>Status / Finding</w:t>
            </w:r>
          </w:p>
        </w:tc>
        <w:tc>
          <w:tcPr>
            <w:tcW w:type="dxa" w:w="2160"/>
          </w:tcPr>
          <w:p>
            <w:r>
              <w:t>Source</w:t>
            </w:r>
          </w:p>
        </w:tc>
      </w:tr>
      <w:tr>
        <w:tc>
          <w:tcPr>
            <w:tcW w:type="dxa" w:w="2160"/>
          </w:tcPr>
          <w:p>
            <w:r>
              <w:t>Corrigwell</w:t>
            </w:r>
          </w:p>
        </w:tc>
        <w:tc>
          <w:tcPr>
            <w:tcW w:type="dxa" w:w="2160"/>
          </w:tcPr>
          <w:p>
            <w:r>
              <w:t>Yes</w:t>
            </w:r>
          </w:p>
        </w:tc>
        <w:tc>
          <w:tcPr>
            <w:tcW w:type="dxa" w:w="2160"/>
          </w:tcPr>
          <w:p>
            <w:r>
              <w:t>Unauthorized (lacked authorization)</w:t>
            </w:r>
          </w:p>
        </w:tc>
        <w:tc>
          <w:tcPr>
            <w:tcW w:type="dxa" w:w="2160"/>
          </w:tcPr>
          <w:p>
            <w:r>
              <w:t>(Corporate Risk and Compliance/Six-Site Credential Sweep Report 2026.docx)</w:t>
            </w:r>
          </w:p>
        </w:tc>
      </w:tr>
      <w:tr>
        <w:tc>
          <w:tcPr>
            <w:tcW w:type="dxa" w:w="2160"/>
          </w:tcPr>
          <w:p>
            <w:r>
              <w:t>Loon Hollow</w:t>
            </w:r>
          </w:p>
        </w:tc>
        <w:tc>
          <w:tcPr>
            <w:tcW w:type="dxa" w:w="2160"/>
          </w:tcPr>
          <w:p>
            <w:r>
              <w:t>Yes</w:t>
            </w:r>
          </w:p>
        </w:tc>
        <w:tc>
          <w:tcPr>
            <w:tcW w:type="dxa" w:w="2160"/>
          </w:tcPr>
          <w:p>
            <w:r>
              <w:t>Cleared (authorized)</w:t>
            </w:r>
          </w:p>
        </w:tc>
        <w:tc>
          <w:tcPr>
            <w:tcW w:type="dxa" w:w="2160"/>
          </w:tcPr>
          <w:p>
            <w:r>
              <w:t>(Corporate Risk and Compliance/Six-Site Credential Sweep Report 2026.docx)</w:t>
            </w:r>
          </w:p>
        </w:tc>
      </w:tr>
      <w:tr>
        <w:tc>
          <w:tcPr>
            <w:tcW w:type="dxa" w:w="2160"/>
          </w:tcPr>
          <w:p>
            <w:r>
              <w:t>Tamarack Ridge</w:t>
            </w:r>
          </w:p>
        </w:tc>
        <w:tc>
          <w:tcPr>
            <w:tcW w:type="dxa" w:w="2160"/>
          </w:tcPr>
          <w:p>
            <w:r>
              <w:t>No</w:t>
            </w:r>
          </w:p>
        </w:tc>
        <w:tc>
          <w:tcPr>
            <w:tcW w:type="dxa" w:w="2160"/>
          </w:tcPr>
          <w:p>
            <w:r>
              <w:t>Never-examined (deferred)</w:t>
            </w:r>
          </w:p>
        </w:tc>
        <w:tc>
          <w:tcPr>
            <w:tcW w:type="dxa" w:w="2160"/>
          </w:tcPr>
          <w:p>
            <w:r>
              <w:t>(Corporate Risk and Compliance/Six-Site Credential Sweep Report 2026.docx)</w:t>
            </w:r>
          </w:p>
        </w:tc>
      </w:tr>
      <w:tr>
        <w:tc>
          <w:tcPr>
            <w:tcW w:type="dxa" w:w="2160"/>
          </w:tcPr>
          <w:p>
            <w:r>
              <w:t>Bluegill Point</w:t>
            </w:r>
          </w:p>
        </w:tc>
        <w:tc>
          <w:tcPr>
            <w:tcW w:type="dxa" w:w="2160"/>
          </w:tcPr>
          <w:p>
            <w:r>
              <w:t>No</w:t>
            </w:r>
          </w:p>
        </w:tc>
        <w:tc>
          <w:tcPr>
            <w:tcW w:type="dxa" w:w="2160"/>
          </w:tcPr>
          <w:p>
            <w:r>
              <w:t>Never-examined (deferred)</w:t>
            </w:r>
          </w:p>
        </w:tc>
        <w:tc>
          <w:tcPr>
            <w:tcW w:type="dxa" w:w="2160"/>
          </w:tcPr>
          <w:p>
            <w:r>
              <w:t>(Corporate Risk and Compliance/Six-Site Credential Sweep Report 2026.docx)</w:t>
            </w:r>
          </w:p>
        </w:tc>
      </w:tr>
      <w:tr>
        <w:tc>
          <w:tcPr>
            <w:tcW w:type="dxa" w:w="2160"/>
          </w:tcPr>
          <w:p>
            <w:r>
              <w:t>Heron Landing</w:t>
            </w:r>
          </w:p>
        </w:tc>
        <w:tc>
          <w:tcPr>
            <w:tcW w:type="dxa" w:w="2160"/>
          </w:tcPr>
          <w:p>
            <w:r>
              <w:t>No</w:t>
            </w:r>
          </w:p>
        </w:tc>
        <w:tc>
          <w:tcPr>
            <w:tcW w:type="dxa" w:w="2160"/>
          </w:tcPr>
          <w:p>
            <w:r>
              <w:t>Never-examined (deferred)</w:t>
            </w:r>
          </w:p>
        </w:tc>
        <w:tc>
          <w:tcPr>
            <w:tcW w:type="dxa" w:w="2160"/>
          </w:tcPr>
          <w:p>
            <w:r>
              <w:t>(Corporate Risk and Compliance/Six-Site Credential Sweep Report 2026.docx)</w:t>
            </w:r>
          </w:p>
        </w:tc>
      </w:tr>
      <w:tr>
        <w:tc>
          <w:tcPr>
            <w:tcW w:type="dxa" w:w="2160"/>
          </w:tcPr>
          <w:p>
            <w:r>
              <w:t>Otter Run</w:t>
            </w:r>
          </w:p>
        </w:tc>
        <w:tc>
          <w:tcPr>
            <w:tcW w:type="dxa" w:w="2160"/>
          </w:tcPr>
          <w:p>
            <w:r>
              <w:t>No</w:t>
            </w:r>
          </w:p>
        </w:tc>
        <w:tc>
          <w:tcPr>
            <w:tcW w:type="dxa" w:w="2160"/>
          </w:tcPr>
          <w:p>
            <w:r>
              <w:t>Never-examined (deferred)</w:t>
            </w:r>
          </w:p>
        </w:tc>
        <w:tc>
          <w:tcPr>
            <w:tcW w:type="dxa" w:w="2160"/>
          </w:tcPr>
          <w:p>
            <w:r>
              <w:t>(Corporate Risk and Compliance/Six-Site Credential Sweep Report 2026.docx)</w:t>
            </w:r>
          </w:p>
        </w:tc>
      </w:tr>
    </w:tbl>
    <w:p>
      <w:pPr>
        <w:pStyle w:val="Heading1"/>
      </w:pPr>
      <w:r>
        <w:t>2. Overall Operations</w:t>
      </w:r>
    </w:p>
    <w:p>
      <w:r>
        <w:t>A comprehensive cross-examination of the operational logs at Corrigwell was conducted to ensure there is no operational safety overlap with the credential defect. The results confirm our operational records are completely clean:</w:t>
      </w:r>
    </w:p>
    <w:p>
      <w:pPr>
        <w:pStyle w:val="ListBullet"/>
      </w:pPr>
      <w:r>
        <w:rPr>
          <w:b/>
        </w:rPr>
        <w:t xml:space="preserve">Water Quality Logs: </w:t>
      </w:r>
      <w:r>
        <w:t>Met CDC Model Aquatic Health Code norms. Logs contain no credential fields. Source: (Corporate Risk and Compliance/Scope Isolation Memo 2026.docx)</w:t>
      </w:r>
    </w:p>
    <w:p>
      <w:pPr>
        <w:pStyle w:val="ListBullet"/>
      </w:pPr>
      <w:r>
        <w:rPr>
          <w:b/>
        </w:rPr>
        <w:t xml:space="preserve">1:25 Lifeguard Ratio Schedules: </w:t>
      </w:r>
      <w:r>
        <w:t>Ratios were met or exceeded at all rotations. No credential data is recorded on the schedules. Source: (Corporate Risk and Compliance/Scope Isolation Memo 2026.docx)</w:t>
      </w:r>
    </w:p>
    <w:p>
      <w:pPr>
        <w:pStyle w:val="ListBullet"/>
      </w:pPr>
      <w:r>
        <w:rPr>
          <w:b/>
        </w:rPr>
        <w:t xml:space="preserve">Incident Reports: </w:t>
      </w:r>
      <w:r>
        <w:t>No serious incidents reported; the record is clean and silent on credentials. Source: (Corporate Risk and Compliance/Scope Isolation Memo 2026.docx)</w:t>
      </w:r>
    </w:p>
    <w:p>
      <w:r>
        <w:t>Conclusion: This issue is strictly related to credential authorization (who signed the record) and involves zero operational safety overlap.</w:t>
      </w:r>
    </w:p>
    <w:p>
      <w:pPr>
        <w:pStyle w:val="Heading1"/>
      </w:pPr>
      <w:r>
        <w:t>3. Re-testing Workload (Before August 20, 2026)</w:t>
      </w:r>
    </w:p>
    <w:p>
      <w:r>
        <w:t>The re-testing workload is based on active campers and valid assessment authority. Re-assessment must be administered for all 2026 Corrigwell campers whose classification rests on an unauthorized sign-off.</w:t>
      </w:r>
    </w:p>
    <w:p>
      <w:pPr>
        <w:pStyle w:val="ListBullet"/>
      </w:pPr>
      <w:r>
        <w:rPr>
          <w:b/>
        </w:rPr>
        <w:t xml:space="preserve">Active Campers Needing Re-testing: </w:t>
      </w:r>
      <w:r>
        <w:t>As of July 1, 2026 (Session 1), 212 active campers need re-testing based on their band classification (89 Beginners + 123 Swimmers). Nonswimmers (68 campers) are not re-tested because their classification does not rest on an authorized sign-off that improperly expands water access. Source: (Swim Classification Records/Corrigwell/2026/Corrigwell Swim Classification Roster 2026.xlsx). Missing camper records: 0 [CORPUS GAP].</w:t>
      </w:r>
    </w:p>
    <w:p>
      <w:pPr>
        <w:pStyle w:val="ListBullet"/>
      </w:pPr>
      <w:r>
        <w:rPr>
          <w:b/>
        </w:rPr>
        <w:t xml:space="preserve">Wristbands Carried Over to 2027: </w:t>
      </w:r>
      <w:r>
        <w:t>0. A band from a prior season does not carry over into the next season; every camper is tested every season. Source: (Swim Classification Records/Swim Test Administration Guide.docx)</w:t>
      </w:r>
    </w:p>
    <w:p>
      <w:pPr>
        <w:pStyle w:val="ListBullet"/>
      </w:pPr>
      <w:r>
        <w:rPr>
          <w:b/>
        </w:rPr>
        <w:t xml:space="preserve">Valid Assessment Authority: </w:t>
      </w:r>
      <w:r>
        <w:t>Currently, 34 active staff members at Corrigwell hold valid assessment authority. The exact credential roles that qualify for swim sign-offs are: Waterfront Skills Lifeguarding (LG-WF), Water Safety Instructor (WSI), and Lifeguarding Instructor (LGI). Sources: (Credential Records/Corrigwell/2026/Corrigwell Lifeguard Certification File 2026.xlsx) and (Credential Records/Credential-Track Authorization Matrix.xlsx)</w:t>
      </w:r>
    </w:p>
    <w:p>
      <w:pPr>
        <w:pStyle w:val="Heading1"/>
      </w:pPr>
      <w:r>
        <w:t>4. Re-testing Plan Reconciliation &amp; Deadlines</w:t>
      </w:r>
    </w:p>
    <w:p>
      <w:r>
        <w:t>We are tracking three overlapping compliance deadlines in July. The table below reconciles these dates against our re-testing plan and assigns operational ownership.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Deadline / Requirement</w:t>
            </w:r>
          </w:p>
        </w:tc>
        <w:tc>
          <w:tcPr>
            <w:tcW w:type="dxa" w:w="2160"/>
          </w:tcPr>
          <w:p>
            <w:r>
              <w:t>Date</w:t>
            </w:r>
          </w:p>
        </w:tc>
        <w:tc>
          <w:tcPr>
            <w:tcW w:type="dxa" w:w="2160"/>
          </w:tcPr>
          <w:p>
            <w:r>
              <w:t>Operational Owner</w:t>
            </w:r>
          </w:p>
        </w:tc>
        <w:tc>
          <w:tcPr>
            <w:tcW w:type="dxa" w:w="2160"/>
          </w:tcPr>
          <w:p>
            <w:r>
              <w:t>Feasibility Assessment &amp; Source</w:t>
            </w:r>
          </w:p>
        </w:tc>
      </w:tr>
      <w:tr>
        <w:tc>
          <w:tcPr>
            <w:tcW w:type="dxa" w:w="2160"/>
          </w:tcPr>
          <w:p>
            <w:r>
              <w:t>Great Pines Mutual underwriting offset (30 days prior to August 1 policy anniversary)</w:t>
            </w:r>
          </w:p>
        </w:tc>
        <w:tc>
          <w:tcPr>
            <w:tcW w:type="dxa" w:w="2160"/>
          </w:tcPr>
          <w:p>
            <w:r>
              <w:t>July 2, 2026</w:t>
            </w:r>
          </w:p>
        </w:tc>
        <w:tc>
          <w:tcPr>
            <w:tcW w:type="dxa" w:w="2160"/>
          </w:tcPr>
          <w:p>
            <w:r>
              <w:t>P. Natarajan</w:t>
            </w:r>
          </w:p>
        </w:tc>
        <w:tc>
          <w:tcPr>
            <w:tcW w:type="dxa" w:w="2160"/>
          </w:tcPr>
          <w:p>
            <w:r>
              <w:t>We will hit this deadline. Briefing the broker and carrier was completed on June 29, 2026. Source: (Corporate Risk and Compliance/Corrective Action Plan 2026.docx) and (Camp Administration/Deadline Coordination Memo 2026.docx)</w:t>
            </w:r>
          </w:p>
        </w:tc>
      </w:tr>
      <w:tr>
        <w:tc>
          <w:tcPr>
            <w:tcW w:type="dxa" w:w="2160"/>
          </w:tcPr>
          <w:p>
            <w:r>
              <w:t>Bureau License Renewal (requires an active Corrective Action Plan)</w:t>
            </w:r>
          </w:p>
        </w:tc>
        <w:tc>
          <w:tcPr>
            <w:tcW w:type="dxa" w:w="2160"/>
          </w:tcPr>
          <w:p>
            <w:r>
              <w:t>July 15, 2026</w:t>
            </w:r>
          </w:p>
        </w:tc>
        <w:tc>
          <w:tcPr>
            <w:tcW w:type="dxa" w:w="2160"/>
          </w:tcPr>
          <w:p>
            <w:r>
              <w:t>L. Booker</w:t>
            </w:r>
          </w:p>
        </w:tc>
        <w:tc>
          <w:tcPr>
            <w:tcW w:type="dxa" w:w="2160"/>
          </w:tcPr>
          <w:p>
            <w:r>
              <w:t>We will hit this deadline. The application will be filed marking the CAP as "In-Process". Source: (Camp Administration/Deadline Coordination Memo 2026.docx)</w:t>
            </w:r>
          </w:p>
        </w:tc>
      </w:tr>
      <w:tr>
        <w:tc>
          <w:tcPr>
            <w:tcW w:type="dxa" w:w="2160"/>
          </w:tcPr>
          <w:p>
            <w:r>
              <w:t>Bureau CAP Response window (referencing July 14 filing marked In-Process)</w:t>
            </w:r>
          </w:p>
        </w:tc>
        <w:tc>
          <w:tcPr>
            <w:tcW w:type="dxa" w:w="2160"/>
          </w:tcPr>
          <w:p>
            <w:r>
              <w:t>July 30, 2026</w:t>
            </w:r>
          </w:p>
        </w:tc>
        <w:tc>
          <w:tcPr>
            <w:tcW w:type="dxa" w:w="2160"/>
          </w:tcPr>
          <w:p>
            <w:r>
              <w:t>R. Delgado</w:t>
            </w:r>
          </w:p>
        </w:tc>
        <w:tc>
          <w:tcPr>
            <w:tcW w:type="dxa" w:w="2160"/>
          </w:tcPr>
          <w:p>
            <w:r>
              <w:t>We will hit this deadline. The re-administering of assessments is scheduled for completion by July 17, 2026. Source: (Corporate Risk and Compliance/Corrective Action Plan 2026.docx) and (Camp Administration/Deadline Coordination Memo 2026.docx)</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