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Liberation Sans" w:hAnsi="Liberation Sans" w:eastAsia="Liberation Sans"/>
          <w:b/>
          <w:color w:val="17324D"/>
          <w:sz w:val="40"/>
        </w:rPr>
        <w:t>CREDENTIAL COMPLIANCE</w:t>
      </w:r>
    </w:p>
    <w:p>
      <w:pPr>
        <w:spacing w:after="180"/>
      </w:pPr>
      <w:r>
        <w:rPr>
          <w:rFonts w:ascii="Liberation Sans" w:hAnsi="Liberation Sans" w:eastAsia="Liberation Sans"/>
          <w:b/>
          <w:color w:val="087E8B"/>
          <w:sz w:val="30"/>
        </w:rPr>
        <w:t>Audit memorandum</w:t>
      </w:r>
    </w:p>
    <w:tbl>
      <w:tblPr>
        <w:tblW w:type="auto" w:w="0"/>
        <w:jc w:val="center"/>
        <w:tblLayout w:type="fixed"/>
        <w:tblLook w:firstColumn="1" w:firstRow="1" w:lastColumn="0" w:lastRow="0" w:noHBand="0" w:noVBand="1" w:val="04A0"/>
      </w:tblPr>
      <w:tblGrid>
        <w:gridCol w:w="5141"/>
        <w:gridCol w:w="5141"/>
      </w:tblGrid>
      <w:tr>
        <w:tc>
          <w:tcPr>
            <w:tcW w:type="dxa" w:w="1584"/>
            <w:shd w:fill="17324D"/>
            <w:tcMar>
              <w:top w:w="70" w:type="dxa"/>
              <w:start w:w="90" w:type="dxa"/>
              <w:bottom w:w="70" w:type="dxa"/>
              <w:end w:w="90" w:type="dxa"/>
            </w:tcMar>
            <w:vAlign w:val="center"/>
          </w:tcPr>
          <w:p>
            <w:pPr>
              <w:spacing w:after="0"/>
            </w:pPr>
            <w:r>
              <w:rPr>
                <w:rFonts w:ascii="Liberation Sans" w:hAnsi="Liberation Sans" w:eastAsia="Liberation Sans"/>
                <w:b/>
                <w:color w:val="FFFFFF"/>
                <w:sz w:val="15"/>
              </w:rPr>
              <w:t>TO</w:t>
            </w:r>
          </w:p>
        </w:tc>
        <w:tc>
          <w:tcPr>
            <w:tcW w:type="dxa" w:w="8568"/>
            <w:shd w:fill="EEF3F7"/>
            <w:tcMar>
              <w:top w:w="70" w:type="dxa"/>
              <w:start w:w="90" w:type="dxa"/>
              <w:bottom w:w="70" w:type="dxa"/>
              <w:end w:w="90" w:type="dxa"/>
            </w:tcMar>
            <w:vAlign w:val="center"/>
          </w:tcPr>
          <w:p>
            <w:pPr>
              <w:spacing w:after="0"/>
            </w:pPr>
            <w:r>
              <w:rPr>
                <w:rFonts w:ascii="Liberation Sans" w:hAnsi="Liberation Sans" w:eastAsia="Liberation Sans"/>
                <w:b w:val="0"/>
                <w:color w:val="1F2933"/>
                <w:sz w:val="17"/>
              </w:rPr>
              <w:t>KVL Camps Board Risk Committee; Aldervale Bureau of Youth Camp Licensing</w:t>
            </w:r>
          </w:p>
        </w:tc>
      </w:tr>
      <w:tr>
        <w:tc>
          <w:tcPr>
            <w:tcW w:type="dxa" w:w="1584"/>
            <w:shd w:fill="17324D"/>
            <w:tcMar>
              <w:top w:w="70" w:type="dxa"/>
              <w:start w:w="90" w:type="dxa"/>
              <w:bottom w:w="70" w:type="dxa"/>
              <w:end w:w="90" w:type="dxa"/>
            </w:tcMar>
            <w:vAlign w:val="center"/>
          </w:tcPr>
          <w:p>
            <w:pPr>
              <w:spacing w:after="0"/>
            </w:pPr>
            <w:r>
              <w:rPr>
                <w:rFonts w:ascii="Liberation Sans" w:hAnsi="Liberation Sans" w:eastAsia="Liberation Sans"/>
                <w:b/>
                <w:color w:val="FFFFFF"/>
                <w:sz w:val="15"/>
              </w:rPr>
              <w:t>FROM</w:t>
            </w:r>
          </w:p>
        </w:tc>
        <w:tc>
          <w:tcPr>
            <w:tcW w:type="dxa" w:w="8568"/>
            <w:shd w:fill="F3F5F7"/>
            <w:tcMar>
              <w:top w:w="70" w:type="dxa"/>
              <w:start w:w="90" w:type="dxa"/>
              <w:bottom w:w="70" w:type="dxa"/>
              <w:end w:w="90" w:type="dxa"/>
            </w:tcMar>
            <w:vAlign w:val="center"/>
          </w:tcPr>
          <w:p>
            <w:pPr>
              <w:spacing w:after="0"/>
            </w:pPr>
            <w:r>
              <w:rPr>
                <w:rFonts w:ascii="Liberation Sans" w:hAnsi="Liberation Sans" w:eastAsia="Liberation Sans"/>
                <w:b w:val="0"/>
                <w:color w:val="1F2933"/>
                <w:sz w:val="17"/>
              </w:rPr>
              <w:t>Operations Director</w:t>
            </w:r>
          </w:p>
        </w:tc>
      </w:tr>
      <w:tr>
        <w:tc>
          <w:tcPr>
            <w:tcW w:type="dxa" w:w="1584"/>
            <w:shd w:fill="17324D"/>
            <w:tcMar>
              <w:top w:w="70" w:type="dxa"/>
              <w:start w:w="90" w:type="dxa"/>
              <w:bottom w:w="70" w:type="dxa"/>
              <w:end w:w="90" w:type="dxa"/>
            </w:tcMar>
            <w:vAlign w:val="center"/>
          </w:tcPr>
          <w:p>
            <w:pPr>
              <w:spacing w:after="0"/>
            </w:pPr>
            <w:r>
              <w:rPr>
                <w:rFonts w:ascii="Liberation Sans" w:hAnsi="Liberation Sans" w:eastAsia="Liberation Sans"/>
                <w:b/>
                <w:color w:val="FFFFFF"/>
                <w:sz w:val="15"/>
              </w:rPr>
              <w:t>DATE</w:t>
            </w:r>
          </w:p>
        </w:tc>
        <w:tc>
          <w:tcPr>
            <w:tcW w:type="dxa" w:w="8568"/>
            <w:shd w:fill="EEF3F7"/>
            <w:tcMar>
              <w:top w:w="70" w:type="dxa"/>
              <w:start w:w="90" w:type="dxa"/>
              <w:bottom w:w="70" w:type="dxa"/>
              <w:end w:w="90" w:type="dxa"/>
            </w:tcMar>
            <w:vAlign w:val="center"/>
          </w:tcPr>
          <w:p>
            <w:pPr>
              <w:spacing w:after="0"/>
            </w:pPr>
            <w:r>
              <w:rPr>
                <w:rFonts w:ascii="Liberation Sans" w:hAnsi="Liberation Sans" w:eastAsia="Liberation Sans"/>
                <w:b w:val="0"/>
                <w:color w:val="1F2933"/>
                <w:sz w:val="17"/>
              </w:rPr>
              <w:t>September 17, 2026</w:t>
            </w:r>
          </w:p>
        </w:tc>
      </w:tr>
      <w:tr>
        <w:tc>
          <w:tcPr>
            <w:tcW w:type="dxa" w:w="1584"/>
            <w:shd w:fill="17324D"/>
            <w:tcMar>
              <w:top w:w="70" w:type="dxa"/>
              <w:start w:w="90" w:type="dxa"/>
              <w:bottom w:w="70" w:type="dxa"/>
              <w:end w:w="90" w:type="dxa"/>
            </w:tcMar>
            <w:vAlign w:val="center"/>
          </w:tcPr>
          <w:p>
            <w:pPr>
              <w:spacing w:after="0"/>
            </w:pPr>
            <w:r>
              <w:rPr>
                <w:rFonts w:ascii="Liberation Sans" w:hAnsi="Liberation Sans" w:eastAsia="Liberation Sans"/>
                <w:b/>
                <w:color w:val="FFFFFF"/>
                <w:sz w:val="15"/>
              </w:rPr>
              <w:t>REFERENCE</w:t>
            </w:r>
          </w:p>
        </w:tc>
        <w:tc>
          <w:tcPr>
            <w:tcW w:type="dxa" w:w="8568"/>
            <w:shd w:fill="F3F5F7"/>
            <w:tcMar>
              <w:top w:w="70" w:type="dxa"/>
              <w:start w:w="90" w:type="dxa"/>
              <w:bottom w:w="70" w:type="dxa"/>
              <w:end w:w="90" w:type="dxa"/>
            </w:tcMar>
            <w:vAlign w:val="center"/>
          </w:tcPr>
          <w:p>
            <w:pPr>
              <w:spacing w:after="0"/>
            </w:pPr>
            <w:r>
              <w:rPr>
                <w:rFonts w:ascii="Liberation Sans" w:hAnsi="Liberation Sans" w:eastAsia="Liberation Sans"/>
                <w:b/>
                <w:color w:val="1F2933"/>
                <w:sz w:val="17"/>
              </w:rPr>
              <w:t>July 1, 2026 escalation date (T0); retrospective evidence cut-off August 20, 2026</w:t>
            </w:r>
          </w:p>
        </w:tc>
      </w:tr>
      <w:tr>
        <w:tc>
          <w:tcPr>
            <w:tcW w:type="dxa" w:w="1584"/>
            <w:shd w:fill="17324D"/>
            <w:tcMar>
              <w:top w:w="70" w:type="dxa"/>
              <w:start w:w="90" w:type="dxa"/>
              <w:bottom w:w="70" w:type="dxa"/>
              <w:end w:w="90" w:type="dxa"/>
            </w:tcMar>
            <w:vAlign w:val="center"/>
          </w:tcPr>
          <w:p>
            <w:pPr>
              <w:spacing w:after="0"/>
            </w:pPr>
            <w:r>
              <w:rPr>
                <w:rFonts w:ascii="Liberation Sans" w:hAnsi="Liberation Sans" w:eastAsia="Liberation Sans"/>
                <w:b/>
                <w:color w:val="FFFFFF"/>
                <w:sz w:val="15"/>
              </w:rPr>
              <w:t>SUBJECT</w:t>
            </w:r>
          </w:p>
        </w:tc>
        <w:tc>
          <w:tcPr>
            <w:tcW w:type="dxa" w:w="8568"/>
            <w:shd w:fill="EEF3F7"/>
            <w:tcMar>
              <w:top w:w="70" w:type="dxa"/>
              <w:start w:w="90" w:type="dxa"/>
              <w:bottom w:w="70" w:type="dxa"/>
              <w:end w:w="90" w:type="dxa"/>
            </w:tcMar>
            <w:vAlign w:val="center"/>
          </w:tcPr>
          <w:p>
            <w:pPr>
              <w:spacing w:after="0"/>
            </w:pPr>
            <w:r>
              <w:rPr>
                <w:rFonts w:ascii="Liberation Sans" w:hAnsi="Liberation Sans" w:eastAsia="Liberation Sans"/>
                <w:b/>
                <w:color w:val="1F2933"/>
                <w:sz w:val="17"/>
              </w:rPr>
              <w:t>Swim-assessment sign-off scope, operating violations, staffing capacity, and deadline reconciliation</w:t>
            </w:r>
          </w:p>
        </w:tc>
      </w:tr>
      <w:tr>
        <w:tc>
          <w:tcPr>
            <w:tcW w:type="dxa" w:w="1584"/>
            <w:shd w:fill="087E8B"/>
            <w:tcMar>
              <w:top w:w="70" w:type="dxa"/>
              <w:start w:w="90" w:type="dxa"/>
              <w:bottom w:w="70" w:type="dxa"/>
              <w:end w:w="90" w:type="dxa"/>
            </w:tcMar>
            <w:vAlign w:val="center"/>
          </w:tcPr>
          <w:p>
            <w:pPr>
              <w:spacing w:after="0"/>
            </w:pPr>
            <w:r>
              <w:rPr>
                <w:rFonts w:ascii="Liberation Sans" w:hAnsi="Liberation Sans" w:eastAsia="Liberation Sans"/>
                <w:b/>
                <w:color w:val="FFFFFF"/>
                <w:sz w:val="15"/>
              </w:rPr>
              <w:t>DELIVERABLE</w:t>
            </w:r>
          </w:p>
        </w:tc>
        <w:tc>
          <w:tcPr>
            <w:tcW w:type="dxa" w:w="8568"/>
            <w:shd w:fill="F3F5F7"/>
            <w:tcMar>
              <w:top w:w="70" w:type="dxa"/>
              <w:start w:w="90" w:type="dxa"/>
              <w:bottom w:w="70" w:type="dxa"/>
              <w:end w:w="90" w:type="dxa"/>
            </w:tcMar>
            <w:vAlign w:val="center"/>
          </w:tcPr>
          <w:p>
            <w:pPr>
              <w:spacing w:after="0"/>
            </w:pPr>
            <w:r>
              <w:rPr>
                <w:rFonts w:ascii="Liberation Sans" w:hAnsi="Liberation Sans" w:eastAsia="Liberation Sans"/>
                <w:b w:val="0"/>
                <w:color w:val="1F2933"/>
                <w:sz w:val="17"/>
              </w:rPr>
              <w:t>Standalone memo; no supporting spreadsheets attached</w:t>
            </w:r>
          </w:p>
        </w:tc>
      </w:tr>
    </w:tbl>
    <w:p>
      <w:pPr>
        <w:spacing w:after="0"/>
      </w:pPr>
    </w:p>
    <w:tbl>
      <w:tblPr>
        <w:tblW w:type="auto" w:w="0"/>
        <w:jc w:val="center"/>
        <w:tblLayout w:type="fixed"/>
        <w:tblLook w:firstColumn="1" w:firstRow="1" w:lastColumn="0" w:lastRow="0" w:noHBand="0" w:noVBand="1" w:val="04A0"/>
      </w:tblPr>
      <w:tblGrid>
        <w:gridCol w:w="1728"/>
        <w:gridCol w:w="8424"/>
      </w:tblGrid>
      <w:tr>
        <w:tc>
          <w:tcPr>
            <w:tcW w:type="dxa" w:w="1728"/>
            <w:shd w:fill="E9F4F4"/>
            <w:tcMar>
              <w:top w:w="100" w:type="dxa"/>
              <w:start w:w="110" w:type="dxa"/>
              <w:bottom w:w="100" w:type="dxa"/>
              <w:end w:w="110" w:type="dxa"/>
            </w:tcMar>
            <w:vAlign w:val="center"/>
          </w:tcPr>
          <w:p>
            <w:pPr>
              <w:spacing w:after="0"/>
            </w:pPr>
            <w:r>
              <w:rPr>
                <w:rFonts w:ascii="Liberation Sans" w:hAnsi="Liberation Sans" w:eastAsia="Liberation Sans"/>
                <w:b/>
                <w:color w:val="087E8B"/>
                <w:sz w:val="16"/>
              </w:rPr>
              <w:t>DETERMINATION</w:t>
            </w:r>
          </w:p>
        </w:tc>
        <w:tc>
          <w:tcPr>
            <w:tcW w:type="dxa" w:w="8424"/>
            <w:shd w:fill="E9F4F4"/>
            <w:tcMar>
              <w:top w:w="100" w:type="dxa"/>
              <w:start w:w="110" w:type="dxa"/>
              <w:bottom w:w="100" w:type="dxa"/>
              <w:end w:w="110" w:type="dxa"/>
            </w:tcMar>
            <w:vAlign w:val="center"/>
          </w:tcPr>
          <w:p>
            <w:pPr>
              <w:spacing w:after="0" w:line="250" w:lineRule="auto"/>
            </w:pPr>
            <w:r>
              <w:rPr>
                <w:rFonts w:ascii="Liberation Sans" w:hAnsi="Liberation Sans" w:eastAsia="Liberation Sans"/>
                <w:b/>
                <w:color w:val="1F2933"/>
                <w:sz w:val="17"/>
              </w:rPr>
              <w:t>Corrigwell is the only confirmed unauthorized-signature site. The current re-test scope is 800 swimmers. Four never-examined sites remain segregated and default-ineligible; Loon Hollow is cleared.</w:t>
            </w:r>
          </w:p>
        </w:tc>
      </w:tr>
    </w:tbl>
    <w:p>
      <w:pPr>
        <w:spacing w:after="0"/>
      </w:pPr>
    </w:p>
    <w:p>
      <w:pPr>
        <w:spacing w:before="180" w:after="80"/>
        <w:keepNext/>
        <w:pBdr>
          <w:bottom w:val="single" w:sz="8" w:space="3" w:color="D8DEE5"/>
        </w:pBdr>
      </w:pPr>
      <w:r>
        <w:rPr>
          <w:rFonts w:ascii="Liberation Sans" w:hAnsi="Liberation Sans" w:eastAsia="Liberation Sans"/>
          <w:b/>
          <w:color w:val="087E8B"/>
          <w:sz w:val="21"/>
        </w:rPr>
        <w:t xml:space="preserve">1  </w:t>
      </w:r>
      <w:r>
        <w:rPr>
          <w:rFonts w:ascii="Liberation Sans" w:hAnsi="Liberation Sans" w:eastAsia="Liberation Sans"/>
          <w:b/>
          <w:color w:val="17324D"/>
          <w:sz w:val="21"/>
        </w:rPr>
        <w:t>EXECUTIVE CONCLUSIONS</w:t>
      </w:r>
    </w:p>
    <w:p>
      <w:pPr>
        <w:pStyle w:val="ListBullet"/>
        <w:spacing w:after="70" w:line="250" w:lineRule="auto"/>
        <w:ind w:left="317" w:hanging="173"/>
      </w:pPr>
      <w:r>
        <w:rPr>
          <w:rFonts w:ascii="Liberation Sans" w:hAnsi="Liberation Sans" w:eastAsia="Liberation Sans"/>
          <w:color w:val="1F2933"/>
          <w:sz w:val="18"/>
        </w:rPr>
        <w:t>Sign-off: Corrigwell's 2022-2026 rosters were certified by Martin T. Eberly under AQS. The controlling matrix authorizes WSI, LGI, and LG-WF for assessments, but not AQS. Across the five affected rosters, 788 + 795 + 805 + 812 + 800 = 4,000 classification rows carry the defective certification; only the 800 current 2026 rows are eligible for immediate re-test. [S1-S6]</w:t>
      </w:r>
    </w:p>
    <w:p>
      <w:pPr>
        <w:pStyle w:val="ListBullet"/>
        <w:spacing w:after="70" w:line="250" w:lineRule="auto"/>
        <w:ind w:left="317" w:hanging="173"/>
      </w:pPr>
      <w:r>
        <w:rPr>
          <w:rFonts w:ascii="Liberation Sans" w:hAnsi="Liberation Sans" w:eastAsia="Liberation Sans"/>
          <w:color w:val="1F2933"/>
          <w:sz w:val="18"/>
        </w:rPr>
        <w:t>Operating violations: the Corrigwell raw logs do not support the repeated 'clean operational record' narrative. The water log contains 62 of 177 stabilized-water readings below 2.0 ppm free chlorine; the ratio log contains 17 blocks with fewer guards than the authoritative buddy-board count required; and 13 activity dates have no water or ratio log. These are reportable control failures under KVL's own operating policy. [S8-S12]</w:t>
      </w:r>
    </w:p>
    <w:p>
      <w:pPr>
        <w:pStyle w:val="ListBullet"/>
        <w:spacing w:after="70" w:line="250" w:lineRule="auto"/>
        <w:ind w:left="317" w:hanging="173"/>
      </w:pPr>
      <w:r>
        <w:rPr>
          <w:rFonts w:ascii="Liberation Sans" w:hAnsi="Liberation Sans" w:eastAsia="Liberation Sans"/>
          <w:color w:val="1F2933"/>
          <w:sz w:val="18"/>
        </w:rPr>
        <w:t>Staffing: 32 unique people had a WSI, LGI, or LG-WF credential verified by July 1 and valid through August 20; the 40 qualifying credential holdings overlap. This is an upper-bound credential pool, not a proven available-assessor count, because Form ASC-2 and active-assignment evidence are missing and the staffing plan lists only 27 Corrigwell aquatics positions. [S1, S13-S15]</w:t>
      </w:r>
    </w:p>
    <w:p>
      <w:pPr>
        <w:pStyle w:val="ListBullet"/>
        <w:spacing w:after="70" w:line="250" w:lineRule="auto"/>
        <w:ind w:left="317" w:hanging="173"/>
      </w:pPr>
      <w:r>
        <w:rPr>
          <w:rFonts w:ascii="Liberation Sans" w:hAnsi="Liberation Sans" w:eastAsia="Liberation Sans"/>
          <w:color w:val="1F2933"/>
          <w:sz w:val="18"/>
        </w:rPr>
        <w:t>Timing: the June 30 underwriting packet and July 14 renewal application met their July 2 and July 15 deadlines, respectively. The July 30 CAP deadline was missed: progress was only 84% on August 10 and the evidence package was scheduled for August 12, 13 days late. No final authorized re-assessment roster proves completion by the August 20 season close. [S7, S16-S21]</w:t>
      </w:r>
    </w:p>
    <w:p>
      <w:pPr>
        <w:pStyle w:val="ListBullet"/>
        <w:spacing w:after="70" w:line="250" w:lineRule="auto"/>
        <w:ind w:left="317" w:hanging="173"/>
      </w:pPr>
      <w:r>
        <w:rPr>
          <w:rFonts w:ascii="Liberation Sans" w:hAnsi="Liberation Sans" w:eastAsia="Liberation Sans"/>
          <w:color w:val="1F2933"/>
          <w:sz w:val="18"/>
        </w:rPr>
        <w:t>2027 bands: zero 2026 wristbands may lawfully carry into 2027 because every camper must test each season. Separately, 375 green-band rows in the 2025 roster are the WF3 planning cohort described as potentially gating 2027 enrollment; they are not part of the 800 current-season re-tests and may be re-tested only if enrolled. [S14, S22-S23]</w:t>
      </w:r>
    </w:p>
    <w:p>
      <w:pPr>
        <w:spacing w:before="180" w:after="80"/>
        <w:keepNext/>
        <w:pBdr>
          <w:bottom w:val="single" w:sz="8" w:space="3" w:color="D8DEE5"/>
        </w:pBdr>
      </w:pPr>
      <w:r>
        <w:rPr>
          <w:rFonts w:ascii="Liberation Sans" w:hAnsi="Liberation Sans" w:eastAsia="Liberation Sans"/>
          <w:b/>
          <w:color w:val="087E8B"/>
          <w:sz w:val="21"/>
        </w:rPr>
        <w:t xml:space="preserve">2  </w:t>
      </w:r>
      <w:r>
        <w:rPr>
          <w:rFonts w:ascii="Liberation Sans" w:hAnsi="Liberation Sans" w:eastAsia="Liberation Sans"/>
          <w:b/>
          <w:color w:val="17324D"/>
          <w:sz w:val="21"/>
        </w:rPr>
        <w:t>SIX-SITE SIGN-OFF AUDIT AND DISPOSITION</w:t>
      </w:r>
    </w:p>
    <w:p>
      <w:pPr>
        <w:spacing w:after="100" w:line="259" w:lineRule="auto"/>
      </w:pPr>
      <w:r>
        <w:rPr>
          <w:rFonts w:ascii="Liberation Sans" w:hAnsi="Liberation Sans" w:eastAsia="Liberation Sans"/>
          <w:color w:val="1F2933"/>
          <w:sz w:val="18"/>
        </w:rPr>
        <w:t>Method. Each accepted conclusion requires a roster signature block, a current credential record, and the controlling authorization matrix. The later WF4 sweep applied that method to two sites only. Applying Operations' instruction that uninspected sites are ineligible by default, the four WF4 'never-examined' locations are segregated below and are not allowed to inflate either the compliant-site count or the re-test population. The WF6 continuity trace is contextual only: it states credential codes but does not establish current credential evidence or Form ASC-2. [S1-S4]</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656"/>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4"/>
              </w:rPr>
              <w:t>Site</w:t>
            </w:r>
          </w:p>
        </w:tc>
        <w:tc>
          <w:tcPr>
            <w:tcW w:type="dxa" w:w="3672"/>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4"/>
              </w:rPr>
              <w:t>Audit evidence</w:t>
            </w:r>
          </w:p>
        </w:tc>
        <w:tc>
          <w:tcPr>
            <w:tcW w:type="dxa" w:w="2088"/>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4"/>
              </w:rPr>
              <w:t>Classification</w:t>
            </w:r>
          </w:p>
        </w:tc>
        <w:tc>
          <w:tcPr>
            <w:tcW w:type="dxa" w:w="2808"/>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4"/>
              </w:rPr>
              <w:t>Disposition</w:t>
            </w:r>
          </w:p>
        </w:tc>
      </w:tr>
      <w:tr>
        <w:trPr>
          <w:cantSplit/>
        </w:trPr>
        <w:tc>
          <w:tcPr>
            <w:tcW w:type="dxa" w:w="1656"/>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Corrigwell</w:t>
            </w:r>
          </w:p>
        </w:tc>
        <w:tc>
          <w:tcPr>
            <w:tcW w:type="dxa" w:w="3672"/>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2022-2026 roster blocks: Eberly / AQS; matrix says AQS assessment authority = No.</w:t>
            </w:r>
          </w:p>
        </w:tc>
        <w:tc>
          <w:tcPr>
            <w:tcW w:type="dxa" w:w="2088"/>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Unauthorized and examined</w:t>
            </w:r>
          </w:p>
        </w:tc>
        <w:tc>
          <w:tcPr>
            <w:tcW w:type="dxa" w:w="2808"/>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In scope: 800 current rows to re-test; operating-log audit required.</w:t>
            </w:r>
          </w:p>
        </w:tc>
      </w:tr>
      <w:tr>
        <w:trPr>
          <w:cantSplit/>
        </w:trPr>
        <w:tc>
          <w:tcPr>
            <w:tcW w:type="dxa" w:w="1656"/>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Loon Hollow</w:t>
            </w:r>
          </w:p>
        </w:tc>
        <w:tc>
          <w:tcPr>
            <w:tcW w:type="dxa" w:w="3672"/>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2026 roster: Kessler / WSI; WF4 confirms credential comparison.</w:t>
            </w:r>
          </w:p>
        </w:tc>
        <w:tc>
          <w:tcPr>
            <w:tcW w:type="dxa" w:w="2088"/>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Cleared</w:t>
            </w:r>
          </w:p>
        </w:tc>
        <w:tc>
          <w:tcPr>
            <w:tcW w:type="dxa" w:w="2808"/>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No re-test scope from this finding.</w:t>
            </w:r>
          </w:p>
        </w:tc>
      </w:tr>
      <w:tr>
        <w:trPr>
          <w:cantSplit/>
        </w:trPr>
        <w:tc>
          <w:tcPr>
            <w:tcW w:type="dxa" w:w="1656"/>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Tamarack Ridge</w:t>
            </w:r>
          </w:p>
        </w:tc>
        <w:tc>
          <w:tcPr>
            <w:tcW w:type="dxa" w:w="3672"/>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No 2026 roster or site credential file in supplied archive; WF4 did not examine.</w:t>
            </w:r>
          </w:p>
        </w:tc>
        <w:tc>
          <w:tcPr>
            <w:tcW w:type="dxa" w:w="2088"/>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Default-ineligible / delisted</w:t>
            </w:r>
          </w:p>
        </w:tc>
        <w:tc>
          <w:tcPr>
            <w:tcW w:type="dxa" w:w="2808"/>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Hold separately; no compliance claim and no swimmer count added.</w:t>
            </w:r>
          </w:p>
        </w:tc>
      </w:tr>
      <w:tr>
        <w:trPr>
          <w:cantSplit/>
        </w:trPr>
        <w:tc>
          <w:tcPr>
            <w:tcW w:type="dxa" w:w="1656"/>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Bluegill Point</w:t>
            </w:r>
          </w:p>
        </w:tc>
        <w:tc>
          <w:tcPr>
            <w:tcW w:type="dxa" w:w="3672"/>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Roster names Mora / LG-WF, but no site credential file; WF4 did not examine.</w:t>
            </w:r>
          </w:p>
        </w:tc>
        <w:tc>
          <w:tcPr>
            <w:tcW w:type="dxa" w:w="2088"/>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Default-ineligible / delisted</w:t>
            </w:r>
          </w:p>
        </w:tc>
        <w:tc>
          <w:tcPr>
            <w:tcW w:type="dxa" w:w="2808"/>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Hold separately despite a populated roster block.</w:t>
            </w:r>
          </w:p>
        </w:tc>
      </w:tr>
      <w:tr>
        <w:trPr>
          <w:cantSplit/>
        </w:trPr>
        <w:tc>
          <w:tcPr>
            <w:tcW w:type="dxa" w:w="1656"/>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Heron Landing</w:t>
            </w:r>
          </w:p>
        </w:tc>
        <w:tc>
          <w:tcPr>
            <w:tcW w:type="dxa" w:w="3672"/>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No 2026 roster or site credential file in supplied archive; WF4 did not examine.</w:t>
            </w:r>
          </w:p>
        </w:tc>
        <w:tc>
          <w:tcPr>
            <w:tcW w:type="dxa" w:w="2088"/>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Default-ineligible / delisted</w:t>
            </w:r>
          </w:p>
        </w:tc>
        <w:tc>
          <w:tcPr>
            <w:tcW w:type="dxa" w:w="2808"/>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Hold separately; no compliance claim and no swimmer count added.</w:t>
            </w:r>
          </w:p>
        </w:tc>
      </w:tr>
      <w:tr>
        <w:trPr>
          <w:cantSplit/>
        </w:trPr>
        <w:tc>
          <w:tcPr>
            <w:tcW w:type="dxa" w:w="1656"/>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Otter Run</w:t>
            </w:r>
          </w:p>
        </w:tc>
        <w:tc>
          <w:tcPr>
            <w:tcW w:type="dxa" w:w="3672"/>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Roster names Ostrander / WSI, but no site credential file; WF4 did not examine.</w:t>
            </w:r>
          </w:p>
        </w:tc>
        <w:tc>
          <w:tcPr>
            <w:tcW w:type="dxa" w:w="2088"/>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Default-ineligible / delisted</w:t>
            </w:r>
          </w:p>
        </w:tc>
        <w:tc>
          <w:tcPr>
            <w:tcW w:type="dxa" w:w="2808"/>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Hold separately despite a populated roster block.</w:t>
            </w:r>
          </w:p>
        </w:tc>
      </w:tr>
    </w:tbl>
    <w:p>
      <w:pPr>
        <w:spacing w:after="0"/>
      </w:pPr>
    </w:p>
    <w:p>
      <w:pPr>
        <w:spacing w:after="100" w:line="259" w:lineRule="auto"/>
      </w:pPr>
      <w:r>
        <w:rPr>
          <w:rFonts w:ascii="Liberation Sans" w:hAnsi="Liberation Sans" w:eastAsia="Liberation Sans"/>
          <w:color w:val="1F2933"/>
          <w:sz w:val="18"/>
        </w:rPr>
        <w:t>Source conflict and governing record. WF4 and the Credential Sweep Status sheet classify Corrigwell, Loon Hollow, and the four never-examined sites. Although WF6 lists authorized-looking credential codes for all sites, WF4 expressly says the underlying records for four sites were not pulled. WF4's examination status therefore governs site disposition; the authorization matrix governs credential authority. [S1, S3, S4]</w:t>
      </w:r>
    </w:p>
    <w:p>
      <w:pPr>
        <w:spacing w:before="180" w:after="80"/>
        <w:keepNext/>
        <w:pBdr>
          <w:bottom w:val="single" w:sz="8" w:space="3" w:color="D8DEE5"/>
        </w:pBdr>
      </w:pPr>
      <w:r>
        <w:rPr>
          <w:rFonts w:ascii="Liberation Sans" w:hAnsi="Liberation Sans" w:eastAsia="Liberation Sans"/>
          <w:b/>
          <w:color w:val="087E8B"/>
          <w:sz w:val="21"/>
        </w:rPr>
        <w:t xml:space="preserve">3  </w:t>
      </w:r>
      <w:r>
        <w:rPr>
          <w:rFonts w:ascii="Liberation Sans" w:hAnsi="Liberation Sans" w:eastAsia="Liberation Sans"/>
          <w:b/>
          <w:color w:val="17324D"/>
          <w:sz w:val="21"/>
        </w:rPr>
        <w:t>CORRIGWELL OPERATING-LOG AUDIT</w:t>
      </w:r>
    </w:p>
    <w:tbl>
      <w:tblPr>
        <w:tblW w:type="auto" w:w="0"/>
        <w:jc w:val="center"/>
        <w:tblLayout w:type="fixed"/>
        <w:tblLook w:firstColumn="1" w:firstRow="1" w:lastColumn="0" w:lastRow="0" w:noHBand="0" w:noVBand="1" w:val="04A0"/>
      </w:tblPr>
      <w:tblGrid>
        <w:gridCol w:w="1728"/>
        <w:gridCol w:w="8424"/>
      </w:tblGrid>
      <w:tr>
        <w:tc>
          <w:tcPr>
            <w:tcW w:type="dxa" w:w="1728"/>
            <w:shd w:fill="FBECEC"/>
            <w:tcMar>
              <w:top w:w="100" w:type="dxa"/>
              <w:start w:w="110" w:type="dxa"/>
              <w:bottom w:w="100" w:type="dxa"/>
              <w:end w:w="110" w:type="dxa"/>
            </w:tcMar>
            <w:vAlign w:val="center"/>
          </w:tcPr>
          <w:p>
            <w:pPr>
              <w:spacing w:after="0"/>
            </w:pPr>
            <w:r>
              <w:rPr>
                <w:rFonts w:ascii="Liberation Sans" w:hAnsi="Liberation Sans" w:eastAsia="Liberation Sans"/>
                <w:b/>
                <w:color w:val="A61B1B"/>
                <w:sz w:val="16"/>
              </w:rPr>
              <w:t>CORRECTION</w:t>
            </w:r>
          </w:p>
        </w:tc>
        <w:tc>
          <w:tcPr>
            <w:tcW w:type="dxa" w:w="8424"/>
            <w:shd w:fill="FBECEC"/>
            <w:tcMar>
              <w:top w:w="100" w:type="dxa"/>
              <w:start w:w="110" w:type="dxa"/>
              <w:bottom w:w="100" w:type="dxa"/>
              <w:end w:w="110" w:type="dxa"/>
            </w:tcMar>
            <w:vAlign w:val="center"/>
          </w:tcPr>
          <w:p>
            <w:pPr>
              <w:spacing w:after="0" w:line="250" w:lineRule="auto"/>
            </w:pPr>
            <w:r>
              <w:rPr>
                <w:rFonts w:ascii="Liberation Sans" w:hAnsi="Liberation Sans" w:eastAsia="Liberation Sans"/>
                <w:b/>
                <w:color w:val="1F2933"/>
                <w:sz w:val="17"/>
              </w:rPr>
              <w:t>The raw logs and KVL operating policy govern this record-level audit. The WF2 scope memo, state finding letter, mid-season update, and WF4 narrative describe the operational record as clean, but none supplies the row-level recomputation below.</w:t>
            </w:r>
          </w:p>
        </w:tc>
      </w:tr>
    </w:tbl>
    <w:p>
      <w:pPr>
        <w:spacing w:after="0"/>
      </w:pPr>
    </w:p>
    <w:p>
      <w:pPr>
        <w:spacing w:before="0" w:after="100" w:line="259" w:lineRule="auto"/>
      </w:pPr>
      <w:r>
        <w:rPr>
          <w:rFonts w:ascii="Liberation Sans" w:hAnsi="Liberation Sans" w:eastAsia="Liberation Sans"/>
          <w:b/>
          <w:color w:val="17324D"/>
          <w:sz w:val="18"/>
        </w:rPr>
        <w:t xml:space="preserve">Water quality. </w:t>
      </w:r>
      <w:r>
        <w:rPr>
          <w:rFonts w:ascii="Liberation Sans" w:hAnsi="Liberation Sans" w:eastAsia="Liberation Sans"/>
          <w:color w:val="1F2933"/>
          <w:sz w:val="18"/>
        </w:rPr>
        <w:t>Corrigwell's log has cyanuric acid in the 30-50 ppm range on all 177 tests, so the stabilized-water free-chlorine range of 2.0-4.0 ppm governs, not the 1.0-3.0 ppm unstabilized range. Recomputing Season Log rows 7-183 gives 62 readings from 1.2 to 1.9 ppm: 62 / 177 = 35.0%. Only 16 record chemical addition; 46 / 62 = 74.2% record no corrective action. None records the required 30-minute re-test result as a separate closure reading. pH, combined chlorine, and cyanuric acid were within the listed ranges. [S8-S9]</w:t>
      </w:r>
    </w:p>
    <w:p>
      <w:pPr>
        <w:spacing w:before="0" w:after="100" w:line="259" w:lineRule="auto"/>
      </w:pPr>
      <w:r>
        <w:rPr>
          <w:rFonts w:ascii="Liberation Sans" w:hAnsi="Liberation Sans" w:eastAsia="Liberation Sans"/>
          <w:b/>
          <w:color w:val="17324D"/>
          <w:sz w:val="18"/>
        </w:rPr>
        <w:t xml:space="preserve">Supervision ratio. </w:t>
      </w:r>
      <w:r>
        <w:rPr>
          <w:rFonts w:ascii="Liberation Sans" w:hAnsi="Liberation Sans" w:eastAsia="Liberation Sans"/>
          <w:color w:val="1F2933"/>
          <w:sz w:val="18"/>
        </w:rPr>
        <w:t>The schedule's listed required guards equal ceil('Swimmers in Water' / 25), and assigned guards meet that listed number in all 846 blocks. KVL policy, however, makes the buddy board the authoritative count. The board differs from 'Swimmers in Water' in 676 / 846 = 79.9% of blocks. Recomputing ceil('Buddy Board Count' / 25) finds 17 / 846 = 2.0% of blocks undercovered, even though all 17 are marked 'Met Standard = Yes.' The affected dates are June 23; June 24; June 30 (two blocks); July 4; July 11; July 20; July 25 (two); July 28; July 29; July 30; July 31 (two); August 6; August 12; and August 14. [S8, S10]</w:t>
      </w:r>
    </w:p>
    <w:p>
      <w:pPr>
        <w:spacing w:before="0" w:after="100" w:line="259" w:lineRule="auto"/>
      </w:pPr>
      <w:r>
        <w:rPr>
          <w:rFonts w:ascii="Liberation Sans" w:hAnsi="Liberation Sans" w:eastAsia="Liberation Sans"/>
          <w:b/>
          <w:color w:val="17324D"/>
          <w:sz w:val="18"/>
        </w:rPr>
        <w:t xml:space="preserve">Missing operating records. </w:t>
      </w:r>
      <w:r>
        <w:rPr>
          <w:rFonts w:ascii="Liberation Sans" w:hAnsi="Liberation Sans" w:eastAsia="Liberation Sans"/>
          <w:color w:val="1F2933"/>
          <w:sz w:val="18"/>
        </w:rPr>
        <w:t>Swim-test, retest, or incident records prove waterfront activity on 13 dates for which both the water-quality and ratio files have no row: June 28; July 5, 12, 19, and 26; and August 2, 9, 15, 16, 17, 18, 19, and 20. Thirteen incident entries fall on five of those dates (June 28, July 12, July 19, July 26, and August 2). The operating logs stop August 14 while test activity continues through the August 20 close. [S9-S12]</w:t>
      </w:r>
    </w:p>
    <w:p>
      <w:pPr>
        <w:spacing w:before="0" w:after="100" w:line="259" w:lineRule="auto"/>
      </w:pPr>
      <w:r>
        <w:rPr>
          <w:rFonts w:ascii="Liberation Sans" w:hAnsi="Liberation Sans" w:eastAsia="Liberation Sans"/>
          <w:b/>
          <w:color w:val="17324D"/>
          <w:sz w:val="18"/>
        </w:rPr>
        <w:t xml:space="preserve">Incident classification. </w:t>
      </w:r>
      <w:r>
        <w:rPr>
          <w:rFonts w:ascii="Liberation Sans" w:hAnsi="Liberation Sans" w:eastAsia="Liberation Sans"/>
          <w:color w:val="1F2933"/>
          <w:sz w:val="18"/>
        </w:rPr>
        <w:t>All 104 incident rows are populated for incident ID, date/time, location, type, person, age, response, equipment, reporter, parent-notification status, and state-reportable status; all are marked 'State Reportable = No.' The file includes five tired-swimmer assists and two resolved buddy-board searches. The supplied record contains no statutory threshold against which to independently overturn the 'No' designations, so no additional welfare-reporting violation is asserted. The Bureau's reportability rule or decision log would settle that question. [S11]</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4"/>
              </w:rPr>
              <w:t>Control</w:t>
            </w:r>
          </w:p>
        </w:tc>
        <w:tc>
          <w:tcPr>
            <w:tcW w:type="dxa" w:w="3024"/>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4"/>
              </w:rPr>
              <w:t>Audit population and formula</w:t>
            </w:r>
          </w:p>
        </w:tc>
        <w:tc>
          <w:tcPr>
            <w:tcW w:type="dxa" w:w="2664"/>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4"/>
              </w:rPr>
              <w:t>Result</w:t>
            </w:r>
          </w:p>
        </w:tc>
        <w:tc>
          <w:tcPr>
            <w:tcW w:type="dxa" w:w="2592"/>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4"/>
              </w:rPr>
              <w:t>Bureau treatment</w:t>
            </w:r>
          </w:p>
        </w:tc>
      </w:tr>
      <w:tr>
        <w:trPr>
          <w:cantSplit/>
        </w:trPr>
        <w:tc>
          <w:tcPr>
            <w:tcW w:type="dxa" w:w="1944"/>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Stabilized free chlorine</w:t>
            </w:r>
          </w:p>
        </w:tc>
        <w:tc>
          <w:tcPr>
            <w:tcW w:type="dxa" w:w="3024"/>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62 readings &lt; 2.0 ppm / 177 tests</w:t>
            </w:r>
          </w:p>
        </w:tc>
        <w:tc>
          <w:tcPr>
            <w:tcW w:type="dxa" w:w="2664"/>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35.0% out of range; 46 without action; no closure re-test results</w:t>
            </w:r>
          </w:p>
        </w:tc>
        <w:tc>
          <w:tcPr>
            <w:tcW w:type="dxa" w:w="2592"/>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Disclose as operating and recordkeeping violations.</w:t>
            </w:r>
          </w:p>
        </w:tc>
      </w:tr>
      <w:tr>
        <w:trPr>
          <w:cantSplit/>
        </w:trPr>
        <w:tc>
          <w:tcPr>
            <w:tcW w:type="dxa" w:w="1944"/>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1:25 ratio</w:t>
            </w:r>
          </w:p>
        </w:tc>
        <w:tc>
          <w:tcPr>
            <w:tcW w:type="dxa" w:w="3024"/>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Required = ceil(buddy-board count / 25)</w:t>
            </w:r>
          </w:p>
        </w:tc>
        <w:tc>
          <w:tcPr>
            <w:tcW w:type="dxa" w:w="2664"/>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17 of 846 blocks short; 676 count mismatches</w:t>
            </w:r>
          </w:p>
        </w:tc>
        <w:tc>
          <w:tcPr>
            <w:tcW w:type="dxa" w:w="2592"/>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Disclose 17 undercovered blocks and reconciliation defect.</w:t>
            </w:r>
          </w:p>
        </w:tc>
      </w:tr>
      <w:tr>
        <w:trPr>
          <w:cantSplit/>
        </w:trPr>
        <w:tc>
          <w:tcPr>
            <w:tcW w:type="dxa" w:w="1944"/>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Daily records</w:t>
            </w:r>
          </w:p>
        </w:tc>
        <w:tc>
          <w:tcPr>
            <w:tcW w:type="dxa" w:w="3024"/>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Activity-date union compared with water and ratio dates</w:t>
            </w:r>
          </w:p>
        </w:tc>
        <w:tc>
          <w:tcPr>
            <w:tcW w:type="dxa" w:w="2664"/>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13 active dates absent from both logs</w:t>
            </w:r>
          </w:p>
        </w:tc>
        <w:tc>
          <w:tcPr>
            <w:tcW w:type="dxa" w:w="2592"/>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Disclose missing operating records through season close.</w:t>
            </w:r>
          </w:p>
        </w:tc>
      </w:tr>
      <w:tr>
        <w:trPr>
          <w:cantSplit/>
        </w:trPr>
        <w:tc>
          <w:tcPr>
            <w:tcW w:type="dxa" w:w="1944"/>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Incidents</w:t>
            </w:r>
          </w:p>
        </w:tc>
        <w:tc>
          <w:tcPr>
            <w:tcW w:type="dxa" w:w="3024"/>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104 rows; state-reportable field reviewed</w:t>
            </w:r>
          </w:p>
        </w:tc>
        <w:tc>
          <w:tcPr>
            <w:tcW w:type="dxa" w:w="2664"/>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0 marked reportable; 7 rescue/search events</w:t>
            </w:r>
          </w:p>
        </w:tc>
        <w:tc>
          <w:tcPr>
            <w:tcW w:type="dxa" w:w="2592"/>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No extra welfare finding without governing threshold evidence.</w:t>
            </w:r>
          </w:p>
        </w:tc>
      </w:tr>
    </w:tbl>
    <w:p>
      <w:pPr>
        <w:spacing w:after="0"/>
      </w:pPr>
    </w:p>
    <w:p>
      <w:pPr>
        <w:spacing w:before="180" w:after="80"/>
        <w:keepNext/>
        <w:pBdr>
          <w:bottom w:val="single" w:sz="8" w:space="3" w:color="D8DEE5"/>
        </w:pBdr>
      </w:pPr>
      <w:r>
        <w:rPr>
          <w:rFonts w:ascii="Liberation Sans" w:hAnsi="Liberation Sans" w:eastAsia="Liberation Sans"/>
          <w:b/>
          <w:color w:val="087E8B"/>
          <w:sz w:val="21"/>
        </w:rPr>
        <w:t xml:space="preserve">4  </w:t>
      </w:r>
      <w:r>
        <w:rPr>
          <w:rFonts w:ascii="Liberation Sans" w:hAnsi="Liberation Sans" w:eastAsia="Liberation Sans"/>
          <w:b/>
          <w:color w:val="17324D"/>
          <w:sz w:val="21"/>
        </w:rPr>
        <w:t>RE-ASSESSMENT SCOPE AND RECORD COMPLETENESS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376"/>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5"/>
              </w:rPr>
              <w:t>Question</w:t>
            </w:r>
          </w:p>
        </w:tc>
        <w:tc>
          <w:tcPr>
            <w:tcW w:type="dxa" w:w="4752"/>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5"/>
              </w:rPr>
              <w:t>Basis and arithmetic</w:t>
            </w:r>
          </w:p>
        </w:tc>
        <w:tc>
          <w:tcPr>
            <w:tcW w:type="dxa" w:w="3096"/>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5"/>
              </w:rPr>
              <w:t>Answer</w:t>
            </w:r>
          </w:p>
        </w:tc>
      </w:tr>
      <w:tr>
        <w:trPr>
          <w:cantSplit/>
        </w:trPr>
        <w:tc>
          <w:tcPr>
            <w:tcW w:type="dxa" w:w="2376"/>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5"/>
              </w:rPr>
              <w:t>Current re-test population</w:t>
            </w:r>
          </w:p>
        </w:tc>
        <w:tc>
          <w:tcPr>
            <w:tcW w:type="dxa" w:w="4752"/>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5"/>
              </w:rPr>
              <w:t>2026 roster sessions: 280 + 288 + 232; bands: 173 nonswimmer + 255 beginner + 372 swimmer</w:t>
            </w:r>
          </w:p>
        </w:tc>
        <w:tc>
          <w:tcPr>
            <w:tcW w:type="dxa" w:w="3096"/>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5"/>
              </w:rPr>
              <w:t>800 current Corrigwell swimmers. Every band is included because the defect is the certification, not test outcome.</w:t>
            </w:r>
          </w:p>
        </w:tc>
      </w:tr>
      <w:tr>
        <w:trPr>
          <w:cantSplit/>
        </w:trPr>
        <w:tc>
          <w:tcPr>
            <w:tcW w:type="dxa" w:w="2376"/>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5"/>
              </w:rPr>
              <w:t>Historic affected record</w:t>
            </w:r>
          </w:p>
        </w:tc>
        <w:tc>
          <w:tcPr>
            <w:tcW w:type="dxa" w:w="4752"/>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5"/>
              </w:rPr>
              <w:t>2022-2026 roster rows: 788 + 795 + 805 + 812 + 800</w:t>
            </w:r>
          </w:p>
        </w:tc>
        <w:tc>
          <w:tcPr>
            <w:tcW w:type="dxa" w:w="3096"/>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5"/>
              </w:rPr>
              <w:t>4,000 classification rows. Historic campers are documented, not recalled for testing if no longer enrolled.</w:t>
            </w:r>
          </w:p>
        </w:tc>
      </w:tr>
      <w:tr>
        <w:trPr>
          <w:cantSplit/>
        </w:trPr>
        <w:tc>
          <w:tcPr>
            <w:tcW w:type="dxa" w:w="2376"/>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5"/>
              </w:rPr>
              <w:t>2027 wristband carry-forward</w:t>
            </w:r>
          </w:p>
        </w:tc>
        <w:tc>
          <w:tcPr>
            <w:tcW w:type="dxa" w:w="4752"/>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5"/>
              </w:rPr>
              <w:t>Guide: every camper tests every season; prior-year band does not carry</w:t>
            </w:r>
          </w:p>
        </w:tc>
        <w:tc>
          <w:tcPr>
            <w:tcW w:type="dxa" w:w="3096"/>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5"/>
              </w:rPr>
              <w:t>0 lawful carry-forwards.</w:t>
            </w:r>
          </w:p>
        </w:tc>
      </w:tr>
      <w:tr>
        <w:trPr>
          <w:cantSplit/>
        </w:trPr>
        <w:tc>
          <w:tcPr>
            <w:tcW w:type="dxa" w:w="2376"/>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5"/>
              </w:rPr>
              <w:t>Separate 2027-gating cohort</w:t>
            </w:r>
          </w:p>
        </w:tc>
        <w:tc>
          <w:tcPr>
            <w:tcW w:type="dxa" w:w="4752"/>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5"/>
              </w:rPr>
              <w:t>2025 roster: 375 'Swimmer' / green rows; WF3 notes prioritize only when enrolled</w:t>
            </w:r>
          </w:p>
        </w:tc>
        <w:tc>
          <w:tcPr>
            <w:tcW w:type="dxa" w:w="3096"/>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5"/>
              </w:rPr>
              <w:t>375 archival rows, separate from the 800 and not automatically eligible for re-test.</w:t>
            </w:r>
          </w:p>
        </w:tc>
      </w:tr>
      <w:tr>
        <w:trPr>
          <w:cantSplit/>
        </w:trPr>
        <w:tc>
          <w:tcPr>
            <w:tcW w:type="dxa" w:w="2376"/>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5"/>
              </w:rPr>
              <w:t>Swimmer information</w:t>
            </w:r>
          </w:p>
        </w:tc>
        <w:tc>
          <w:tcPr>
            <w:tcW w:type="dxa" w:w="4752"/>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5"/>
              </w:rPr>
              <w:t>Corrigwell rows 7-806: mandatory columns A-L; blank-cell count = 0</w:t>
            </w:r>
          </w:p>
        </w:tc>
        <w:tc>
          <w:tcPr>
            <w:tcW w:type="dxa" w:w="3096"/>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5"/>
              </w:rPr>
              <w:t>No required swimmer-data omissions among the 800 rows. Prior-season band and notes are optional.</w:t>
            </w:r>
          </w:p>
        </w:tc>
      </w:tr>
    </w:tbl>
    <w:p>
      <w:pPr>
        <w:spacing w:after="0"/>
      </w:pPr>
    </w:p>
    <w:p>
      <w:pPr>
        <w:spacing w:after="100" w:line="259" w:lineRule="auto"/>
      </w:pPr>
      <w:r>
        <w:rPr>
          <w:rFonts w:ascii="Liberation Sans" w:hAnsi="Liberation Sans" w:eastAsia="Liberation Sans"/>
          <w:color w:val="1F2933"/>
          <w:sz w:val="18"/>
        </w:rPr>
        <w:t>Projection reconciliation. The Session Calendar projects 266 campers per Corrigwell session, or 266 x 3 = 798. The roster contains 800 actual rows and CAP Action 1 applies to all current classifications, so 800, not 798, governs. The three other supplied 2026 rosters also have no blanks in mandatory columns A-L (Loon Hollow 210 rows, Bluegill Point 180, Otter Run 150); the archive contains no equivalent roster for Tamarack Ridge or Heron Landing, so no completeness conclusion is possible for those default-ineligible sites. [S5, S7, S15, S24]</w:t>
      </w:r>
    </w:p>
    <w:p>
      <w:pPr>
        <w:spacing w:before="180" w:after="80"/>
        <w:keepNext/>
        <w:pBdr>
          <w:bottom w:val="single" w:sz="8" w:space="3" w:color="D8DEE5"/>
        </w:pBdr>
      </w:pPr>
      <w:r>
        <w:rPr>
          <w:rFonts w:ascii="Liberation Sans" w:hAnsi="Liberation Sans" w:eastAsia="Liberation Sans"/>
          <w:b/>
          <w:color w:val="087E8B"/>
          <w:sz w:val="21"/>
        </w:rPr>
        <w:t xml:space="preserve">5  </w:t>
      </w:r>
      <w:r>
        <w:rPr>
          <w:rFonts w:ascii="Liberation Sans" w:hAnsi="Liberation Sans" w:eastAsia="Liberation Sans"/>
          <w:b/>
          <w:color w:val="17324D"/>
          <w:sz w:val="21"/>
        </w:rPr>
        <w:t>ASSESSMENT STAFFING CAPACITY</w:t>
      </w:r>
    </w:p>
    <w:p>
      <w:pPr>
        <w:spacing w:after="100" w:line="259" w:lineRule="auto"/>
      </w:pPr>
      <w:r>
        <w:rPr>
          <w:rFonts w:ascii="Liberation Sans" w:hAnsi="Liberation Sans" w:eastAsia="Liberation Sans"/>
          <w:color w:val="1F2933"/>
          <w:sz w:val="18"/>
        </w:rPr>
        <w:t>Credential basis. The controlling matrix authorizes WSI, LGI, and LG-WF, each subject to current validity and Form ASC-2. For an assessor available throughout the July 1-August 20 period, this audit required issue date and verification date on or before July 1 and expiry on or after August 20. Corrigwell's certification file yields 14 WSI holdings + 2 LGI holdings + 24 LG-WF holdings = 40 qualifying holdings. Deduplicating the eight overlapping holdings by staff name yields 32 unique people. One additional LG-WF holder was verified July 7, raising the credential-qualified pool to 33 from that date, but not for the entire period. [S1, S13-S14]</w:t>
      </w:r>
    </w:p>
    <w:tbl>
      <w:tblPr>
        <w:tblW w:type="auto" w:w="0"/>
        <w:jc w:val="center"/>
        <w:tblLayout w:type="fixed"/>
        <w:tblLook w:firstColumn="1" w:firstRow="1" w:lastColumn="0" w:lastRow="0" w:noHBand="0" w:noVBand="1" w:val="04A0"/>
      </w:tblPr>
      <w:tblGrid>
        <w:gridCol w:w="1728"/>
        <w:gridCol w:w="8424"/>
      </w:tblGrid>
      <w:tr>
        <w:tc>
          <w:tcPr>
            <w:tcW w:type="dxa" w:w="1728"/>
            <w:shd w:fill="FFF4E5"/>
            <w:tcMar>
              <w:top w:w="100" w:type="dxa"/>
              <w:start w:w="110" w:type="dxa"/>
              <w:bottom w:w="100" w:type="dxa"/>
              <w:end w:w="110" w:type="dxa"/>
            </w:tcMar>
            <w:vAlign w:val="center"/>
          </w:tcPr>
          <w:p>
            <w:pPr>
              <w:spacing w:after="0"/>
            </w:pPr>
            <w:r>
              <w:rPr>
                <w:rFonts w:ascii="Liberation Sans" w:hAnsi="Liberation Sans" w:eastAsia="Liberation Sans"/>
                <w:b/>
                <w:color w:val="A15C00"/>
                <w:sz w:val="16"/>
              </w:rPr>
              <w:t>AVAILABILITY LIMIT</w:t>
            </w:r>
          </w:p>
        </w:tc>
        <w:tc>
          <w:tcPr>
            <w:tcW w:type="dxa" w:w="8424"/>
            <w:shd w:fill="FFF4E5"/>
            <w:tcMar>
              <w:top w:w="100" w:type="dxa"/>
              <w:start w:w="110" w:type="dxa"/>
              <w:bottom w:w="100" w:type="dxa"/>
              <w:end w:w="110" w:type="dxa"/>
            </w:tcMar>
            <w:vAlign w:val="center"/>
          </w:tcPr>
          <w:p>
            <w:pPr>
              <w:spacing w:after="0" w:line="250" w:lineRule="auto"/>
            </w:pPr>
            <w:r>
              <w:rPr>
                <w:rFonts w:ascii="Liberation Sans" w:hAnsi="Liberation Sans" w:eastAsia="Liberation Sans"/>
                <w:b/>
                <w:color w:val="1F2933"/>
                <w:sz w:val="17"/>
              </w:rPr>
              <w:t>Do not represent 32 as confirmed assessors. The certification file does not show Form ASC-2, the active assignment crosswalk, leave, or shift availability; its 32 names also exceed the Staffing Plan's 27 Corrigwell aquatics positions. The WSI-LGI course roster was excluded because it has no staff-ID or site-assignment linkage.</w:t>
            </w:r>
          </w:p>
        </w:tc>
      </w:tr>
    </w:tbl>
    <w:p>
      <w:pPr>
        <w:spacing w:after="0"/>
      </w:pPr>
    </w:p>
    <w:p>
      <w:pPr>
        <w:spacing w:after="100" w:line="259" w:lineRule="auto"/>
      </w:pPr>
      <w:r>
        <w:rPr>
          <w:rFonts w:ascii="Liberation Sans" w:hAnsi="Liberation Sans" w:eastAsia="Liberation Sans"/>
          <w:color w:val="1F2933"/>
          <w:sz w:val="18"/>
        </w:rPr>
        <w:t>The defensible answer is therefore: 32 credential-qualified names are the July 1 upper bound, 33 from July 7, but the number actually available is not established by the supplied evidence. A dated active-assignment roster cross-walked to credential records and Form ASC-2 would settle it. [S13-S15, S25]</w:t>
      </w:r>
    </w:p>
    <w:p>
      <w:pPr>
        <w:spacing w:before="180" w:after="80"/>
        <w:keepNext/>
        <w:pBdr>
          <w:bottom w:val="single" w:sz="8" w:space="3" w:color="D8DEE5"/>
        </w:pBdr>
      </w:pPr>
      <w:r>
        <w:rPr>
          <w:rFonts w:ascii="Liberation Sans" w:hAnsi="Liberation Sans" w:eastAsia="Liberation Sans"/>
          <w:b/>
          <w:color w:val="087E8B"/>
          <w:sz w:val="21"/>
        </w:rPr>
        <w:t xml:space="preserve">6  </w:t>
      </w:r>
      <w:r>
        <w:rPr>
          <w:rFonts w:ascii="Liberation Sans" w:hAnsi="Liberation Sans" w:eastAsia="Liberation Sans"/>
          <w:b/>
          <w:color w:val="17324D"/>
          <w:sz w:val="21"/>
        </w:rPr>
        <w:t>JULY DEADLINES, OWNERS, AND FEASIBILITY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952"/>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4"/>
              </w:rPr>
              <w:t>Workstream / owner</w:t>
            </w:r>
          </w:p>
        </w:tc>
        <w:tc>
          <w:tcPr>
            <w:tcW w:type="dxa" w:w="3168"/>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4"/>
              </w:rPr>
              <w:t>Date arithmetic from T0</w:t>
            </w:r>
          </w:p>
        </w:tc>
        <w:tc>
          <w:tcPr>
            <w:tcW w:type="dxa" w:w="4104"/>
            <w:shd w:fill="17324D"/>
            <w:tcMar>
              <w:top w:w="72" w:type="dxa"/>
              <w:start w:w="75" w:type="dxa"/>
              <w:bottom w:w="72" w:type="dxa"/>
              <w:end w:w="75" w:type="dxa"/>
            </w:tcMar>
            <w:vAlign w:val="center"/>
          </w:tcPr>
          <w:p>
            <w:pPr>
              <w:spacing w:after="0"/>
            </w:pPr>
            <w:r>
              <w:rPr>
                <w:rFonts w:ascii="Liberation Sans" w:hAnsi="Liberation Sans" w:eastAsia="Liberation Sans"/>
                <w:b/>
                <w:color w:val="FFFFFF"/>
                <w:sz w:val="14"/>
              </w:rPr>
              <w:t>Evidence and outcome</w:t>
            </w:r>
          </w:p>
        </w:tc>
      </w:tr>
      <w:tr>
        <w:trPr>
          <w:cantSplit/>
        </w:trPr>
        <w:tc>
          <w:tcPr>
            <w:tcW w:type="dxa" w:w="2952"/>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Underwriting - P. Natarajan</w:t>
            </w:r>
          </w:p>
        </w:tc>
        <w:tc>
          <w:tcPr>
            <w:tcW w:type="dxa" w:w="3168"/>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August 1 anniversary - 30 days = July 2; 1 day after July 1</w:t>
            </w:r>
          </w:p>
        </w:tc>
        <w:tc>
          <w:tcPr>
            <w:tcW w:type="dxa" w:w="4104"/>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Internal WF5 note records packet sent June 30, 2 days early. Re-testing could not be complete by this deadline.</w:t>
            </w:r>
          </w:p>
        </w:tc>
      </w:tr>
      <w:tr>
        <w:trPr>
          <w:cantSplit/>
        </w:trPr>
        <w:tc>
          <w:tcPr>
            <w:tcW w:type="dxa" w:w="2952"/>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Licensing - L. Booker calendar; Executive Director signature</w:t>
            </w:r>
          </w:p>
        </w:tc>
        <w:tc>
          <w:tcPr>
            <w:tcW w:type="dxa" w:w="3168"/>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Fixed July 15; 14 days after July 1</w:t>
            </w:r>
          </w:p>
        </w:tc>
        <w:tc>
          <w:tcPr>
            <w:tcW w:type="dxa" w:w="4104"/>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Renewal received July 14, 1 day early, accurately describing CAP as in progress. CAP closure was a separate findings-unit deadline.</w:t>
            </w:r>
          </w:p>
        </w:tc>
      </w:tr>
      <w:tr>
        <w:trPr>
          <w:cantSplit/>
        </w:trPr>
        <w:tc>
          <w:tcPr>
            <w:tcW w:type="dxa" w:w="2952"/>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Risk &amp; Compliance CAP filing - P. Natarajan; execution calendar - R. Delgado</w:t>
            </w:r>
          </w:p>
        </w:tc>
        <w:tc>
          <w:tcPr>
            <w:tcW w:type="dxa" w:w="3168"/>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June 15 finding + 45 days = July 30; 29 days after July 1 and 16 days after July 14 filing</w:t>
            </w:r>
          </w:p>
        </w:tc>
        <w:tc>
          <w:tcPr>
            <w:tcW w:type="dxa" w:w="4104"/>
            <w:tcMar>
              <w:top w:w="66" w:type="dxa"/>
              <w:start w:w="75" w:type="dxa"/>
              <w:bottom w:w="66" w:type="dxa"/>
              <w:end w:w="75" w:type="dxa"/>
            </w:tcMar>
            <w:vAlign w:val="top"/>
          </w:tcPr>
          <w:p>
            <w:pPr>
              <w:spacing w:after="0" w:line="240" w:lineRule="auto"/>
            </w:pPr>
            <w:r>
              <w:rPr>
                <w:rFonts w:ascii="Liberation Sans" w:hAnsi="Liberation Sans" w:eastAsia="Liberation Sans"/>
                <w:color w:val="1F2933"/>
                <w:sz w:val="14"/>
              </w:rPr>
              <w:t>Missed. August 10 minutes report 84% complete; package scheduled August 12, 13 days after due.</w:t>
            </w:r>
          </w:p>
        </w:tc>
      </w:tr>
      <w:tr>
        <w:trPr>
          <w:cantSplit/>
        </w:trPr>
        <w:tc>
          <w:tcPr>
            <w:tcW w:type="dxa" w:w="2952"/>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Season close - Operations</w:t>
            </w:r>
          </w:p>
        </w:tc>
        <w:tc>
          <w:tcPr>
            <w:tcW w:type="dxa" w:w="3168"/>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August 20; 50 days after July 1 and 21 days after July 30</w:t>
            </w:r>
          </w:p>
        </w:tc>
        <w:tc>
          <w:tcPr>
            <w:tcW w:type="dxa" w:w="4104"/>
            <w:tcMar>
              <w:top w:w="66" w:type="dxa"/>
              <w:start w:w="75" w:type="dxa"/>
              <w:bottom w:w="66" w:type="dxa"/>
              <w:end w:w="75" w:type="dxa"/>
            </w:tcMar>
            <w:vAlign w:val="top"/>
            <w:shd w:fill="F3F5F7"/>
          </w:tcPr>
          <w:p>
            <w:pPr>
              <w:spacing w:after="0" w:line="240" w:lineRule="auto"/>
            </w:pPr>
            <w:r>
              <w:rPr>
                <w:rFonts w:ascii="Liberation Sans" w:hAnsi="Liberation Sans" w:eastAsia="Liberation Sans"/>
                <w:color w:val="1F2933"/>
                <w:sz w:val="14"/>
              </w:rPr>
              <w:t>No final authorized re-assessment roster in the archive; completion by close is not evidenced.</w:t>
            </w:r>
          </w:p>
        </w:tc>
      </w:tr>
    </w:tbl>
    <w:p>
      <w:pPr>
        <w:spacing w:after="0"/>
      </w:pPr>
    </w:p>
    <w:p>
      <w:pPr>
        <w:spacing w:after="100" w:line="259" w:lineRule="auto"/>
      </w:pPr>
      <w:r>
        <w:rPr>
          <w:rFonts w:ascii="Liberation Sans" w:hAnsi="Liberation Sans" w:eastAsia="Liberation Sans"/>
          <w:color w:val="1F2933"/>
          <w:sz w:val="18"/>
        </w:rPr>
        <w:t>Owner reconciliation. The Deadline Coordination Memo assigns Natarajan to underwriting, Booker to the application calendar, and Delgado to the CAP execution calendar. CAP Action 8 assigns the external Bureau filing to Natarajan. These are complementary: Delgado owns execution scheduling; Natarajan owns the Risk &amp; Compliance submission. [S7, S16]</w:t>
      </w:r>
    </w:p>
    <w:p>
      <w:pPr>
        <w:spacing w:after="100" w:line="259" w:lineRule="auto"/>
      </w:pPr>
      <w:r>
        <w:rPr>
          <w:rFonts w:ascii="Liberation Sans" w:hAnsi="Liberation Sans" w:eastAsia="Liberation Sans"/>
          <w:color w:val="1F2933"/>
          <w:sz w:val="18"/>
        </w:rPr>
        <w:t>Capacity arithmetic is not proof. Against the CAP's July 17 internal target, July 1-17 inclusive provides 17 calendar dates: 800 / 17 = 47.1 tests per day, or 800 / (32 x 17) = 1.47 tests per credential-qualified person per day. Against July 30, the 30-date inclusive window requires 800 / 30 = 26.7 tests per day, or 0.83 per person per day. No source supplies test duration, shifts released from 1:25 coverage, Form ASC-2 status, or daily attendance, so the arithmetic cannot establish feasibility. The later record resolves the question: approximately 84% x 800 = 672 rows were complete on August 10 if the reported percentage was exact, leaving approximately 128; therefore the July 17 plan and July 30 deadline were not met. [S7, S13-S15, S20]</w:t>
      </w:r>
    </w:p>
    <w:p>
      <w:pPr>
        <w:spacing w:before="180" w:after="80"/>
        <w:keepNext/>
        <w:pBdr>
          <w:bottom w:val="single" w:sz="8" w:space="3" w:color="D8DEE5"/>
        </w:pBdr>
      </w:pPr>
      <w:r>
        <w:rPr>
          <w:rFonts w:ascii="Liberation Sans" w:hAnsi="Liberation Sans" w:eastAsia="Liberation Sans"/>
          <w:b/>
          <w:color w:val="087E8B"/>
          <w:sz w:val="21"/>
        </w:rPr>
        <w:t xml:space="preserve">7  </w:t>
      </w:r>
      <w:r>
        <w:rPr>
          <w:rFonts w:ascii="Liberation Sans" w:hAnsi="Liberation Sans" w:eastAsia="Liberation Sans"/>
          <w:b/>
          <w:color w:val="17324D"/>
          <w:sz w:val="21"/>
        </w:rPr>
        <w:t>REQUIRED DISPOSITION</w:t>
      </w:r>
    </w:p>
    <w:p>
      <w:pPr>
        <w:pStyle w:val="ListBullet"/>
        <w:spacing w:after="70" w:line="250" w:lineRule="auto"/>
        <w:ind w:left="317" w:hanging="173"/>
      </w:pPr>
      <w:r>
        <w:rPr>
          <w:rFonts w:ascii="Liberation Sans" w:hAnsi="Liberation Sans" w:eastAsia="Liberation Sans"/>
          <w:color w:val="1F2933"/>
          <w:sz w:val="18"/>
        </w:rPr>
        <w:t>Correct the Bureau and underwriting narrative: disclose the 62 low-chlorine readings, 17 buddy-board-based ratio shortages, and 13 missing operating-log dates. Do not repeat the unqualified 'clean operational record' statement. [S8-S12]</w:t>
      </w:r>
    </w:p>
    <w:p>
      <w:pPr>
        <w:pStyle w:val="ListBullet"/>
        <w:spacing w:after="70" w:line="250" w:lineRule="auto"/>
        <w:ind w:left="317" w:hanging="173"/>
      </w:pPr>
      <w:r>
        <w:rPr>
          <w:rFonts w:ascii="Liberation Sans" w:hAnsi="Liberation Sans" w:eastAsia="Liberation Sans"/>
          <w:color w:val="1F2933"/>
          <w:sz w:val="18"/>
        </w:rPr>
        <w:t>Submit the final re-assessment roster, signed by matrix-authorized assessors, plus Form ASC-2 and active-assignment evidence. Until received, do not certify that 800 re-tests or season-close completion occurred. [S1, S7, S14]</w:t>
      </w:r>
    </w:p>
    <w:p>
      <w:pPr>
        <w:pStyle w:val="ListBullet"/>
        <w:spacing w:after="70" w:line="250" w:lineRule="auto"/>
        <w:ind w:left="317" w:hanging="173"/>
      </w:pPr>
      <w:r>
        <w:rPr>
          <w:rFonts w:ascii="Liberation Sans" w:hAnsi="Liberation Sans" w:eastAsia="Liberation Sans"/>
          <w:color w:val="1F2933"/>
          <w:sz w:val="18"/>
        </w:rPr>
        <w:t>Keep Tamarack Ridge, Bluegill Point, Heron Landing, and Otter Run in the segregated default-ineligible section until each site has the three-document examination. Do not use WF6 credential codes as a clearance. [S3-S4]</w:t>
      </w:r>
    </w:p>
    <w:p>
      <w:pPr>
        <w:pStyle w:val="ListBullet"/>
        <w:spacing w:after="70" w:line="250" w:lineRule="auto"/>
        <w:ind w:left="317" w:hanging="173"/>
      </w:pPr>
      <w:r>
        <w:rPr>
          <w:rFonts w:ascii="Liberation Sans" w:hAnsi="Liberation Sans" w:eastAsia="Liberation Sans"/>
          <w:color w:val="1F2933"/>
          <w:sz w:val="18"/>
        </w:rPr>
        <w:t>Open a recordkeeping CAP for authoritative buddy-board reconciliation, stabilized-water response and documented closure re-tests, and daily operating logs through the last swim activity. [S8-S12]</w:t>
      </w:r>
    </w:p>
    <w:p>
      <w:pPr>
        <w:spacing w:before="180" w:after="80"/>
        <w:keepNext/>
        <w:pBdr>
          <w:bottom w:val="single" w:sz="8" w:space="3" w:color="D8DEE5"/>
        </w:pBdr>
      </w:pPr>
      <w:r>
        <w:rPr>
          <w:rFonts w:ascii="Liberation Sans" w:hAnsi="Liberation Sans" w:eastAsia="Liberation Sans"/>
          <w:b/>
          <w:color w:val="087E8B"/>
          <w:sz w:val="21"/>
        </w:rPr>
        <w:t xml:space="preserve">8  </w:t>
      </w:r>
      <w:r>
        <w:rPr>
          <w:rFonts w:ascii="Liberation Sans" w:hAnsi="Liberation Sans" w:eastAsia="Liberation Sans"/>
          <w:b/>
          <w:color w:val="17324D"/>
          <w:sz w:val="21"/>
        </w:rPr>
        <w:t>SOURCE REGISTER</w:t>
      </w:r>
    </w:p>
    <w:p>
      <w:pPr>
        <w:spacing w:after="100" w:line="259" w:lineRule="auto"/>
      </w:pPr>
      <w:r>
        <w:rPr>
          <w:rFonts w:ascii="Liberation Sans" w:hAnsi="Liberation Sans" w:eastAsia="Liberation Sans"/>
          <w:color w:val="1F2933"/>
          <w:sz w:val="18"/>
        </w:rPr>
        <w:t>All references are folder/filename paths within the supplied workspace. Spreadsheet row references use visible worksheet rows. This memo excludes public/nyc-athletic-facilities.csv, public/nyc-parks-events-listing.csv, and public/chicago-park-district-activities.csv as directed; none is relevant to KVL site eligibility.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648"/>
            <w:shd w:fill="17324D"/>
            <w:tcMar>
              <w:top w:w="24" w:type="dxa"/>
              <w:start w:w="65" w:type="dxa"/>
              <w:bottom w:w="24" w:type="dxa"/>
              <w:end w:w="65" w:type="dxa"/>
            </w:tcMar>
            <w:vAlign w:val="center"/>
          </w:tcPr>
          <w:p>
            <w:pPr>
              <w:spacing w:after="0" w:before="0" w:line="221" w:lineRule="auto"/>
            </w:pPr>
            <w:r>
              <w:rPr>
                <w:rFonts w:ascii="Liberation Sans" w:hAnsi="Liberation Sans" w:eastAsia="Liberation Sans"/>
                <w:b/>
                <w:color w:val="FFFFFF"/>
                <w:sz w:val="12"/>
              </w:rPr>
              <w:t>Ref</w:t>
            </w:r>
          </w:p>
        </w:tc>
        <w:tc>
          <w:tcPr>
            <w:tcW w:type="dxa" w:w="5472"/>
            <w:shd w:fill="17324D"/>
            <w:tcMar>
              <w:top w:w="24" w:type="dxa"/>
              <w:start w:w="65" w:type="dxa"/>
              <w:bottom w:w="24" w:type="dxa"/>
              <w:end w:w="65" w:type="dxa"/>
            </w:tcMar>
            <w:vAlign w:val="center"/>
          </w:tcPr>
          <w:p>
            <w:pPr>
              <w:spacing w:after="0" w:before="0" w:line="221" w:lineRule="auto"/>
            </w:pPr>
            <w:r>
              <w:rPr>
                <w:rFonts w:ascii="Liberation Sans" w:hAnsi="Liberation Sans" w:eastAsia="Liberation Sans"/>
                <w:b/>
                <w:color w:val="FFFFFF"/>
                <w:sz w:val="12"/>
              </w:rPr>
              <w:t>Folder / filename</w:t>
            </w:r>
          </w:p>
        </w:tc>
        <w:tc>
          <w:tcPr>
            <w:tcW w:type="dxa" w:w="3816"/>
            <w:shd w:fill="17324D"/>
            <w:tcMar>
              <w:top w:w="24" w:type="dxa"/>
              <w:start w:w="65" w:type="dxa"/>
              <w:bottom w:w="24" w:type="dxa"/>
              <w:end w:w="65" w:type="dxa"/>
            </w:tcMar>
            <w:vAlign w:val="center"/>
          </w:tcPr>
          <w:p>
            <w:pPr>
              <w:spacing w:after="0" w:before="0" w:line="221" w:lineRule="auto"/>
            </w:pPr>
            <w:r>
              <w:rPr>
                <w:rFonts w:ascii="Liberation Sans" w:hAnsi="Liberation Sans" w:eastAsia="Liberation Sans"/>
                <w:b/>
                <w:color w:val="FFFFFF"/>
                <w:sz w:val="12"/>
              </w:rPr>
              <w:t>Use</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S1</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Credential Records/Credential-Track Authorization Matrix.xlsx</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Authorization Matrix, rows 5-13; controlling assessment-authority table and Form ASC-2 notes.</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S2</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Corporate Risk and Compliance/Swim Classification and Authorization Standard.docx</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Sections 3, 9, 10; matrix governs and AQS is not assessment-authorized.</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S3</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Corporate Risk and Compliance/Six-Site Credential Sweep Report 2026.docx</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Sections 2-5 and Table 2; two examined sites and four never-examined sites.</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S4</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Corporate Risk and Compliance/Six-Site Inspection History.xlsx</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Credential Sweep Status, rows 5-11; site status reproduction.</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S5</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Swim Classification Records/Corrigwell/2026/Corrigwell Swim Classification Roster 2026.xlsx</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Classification Roster, rows 7-806 and 809-812; 800 rows, sessions, bands, and AQS signature block.</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S6</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Swim Classification Records/Corrigwell/2022-2025/Corrigwell Swim Classification Roster [year].xlsx</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Four annual rosters; 788, 795, 805, and 812 populated classification rows and AQS blocks. Actual files reside in each year folder.</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S7</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Corporate Risk and Compliance/Corrective Action Plan 2026.docx</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Sections 4-6 and Table 2; eligibility, owners, July 17 action target, July 30 response, August 20 close.</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S8</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Corporate Risk and Compliance/Waterfront Standard Operating Policies.docx</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Sections 2, 4, 6, 8; 1:25 rule, authoritative buddy-board reconciliation, stabilized-water range, and daily records.</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S9</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Waterfront Operations/Corrigwell/2026/Corrigwell Water Quality Log 2026.xlsx</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Season Log, rows 7-183; 177 tests through August 14.</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S10</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Waterfront Operations/Corrigwell/2026/Corrigwell Ratio Schedule 2026.xlsx</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Rotation Schedule, rows 7-852; 846 rotation-area blocks through August 14.</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S11</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Waterfront Operations/Corrigwell/2026/Corrigwell Incident and First Aid Log 2026.xlsx</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Incident and First Aid Log, rows 7-110; 104 incidents and activity dates.</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S12</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Swim Classification Records/Corrigwell/2026/Corrigwell Swim Test Summary 2026.xlsx; Beginner Test Retest Log 2026.csv</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Test Events, rows 6-149; CSV lines 2-63; activity-date cross-check.</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S13</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Credential Records/Corrigwell/2026/Corrigwell Lifeguard Certification File 2026.xlsx</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Certification Records; credential codes, issue/expiry, verification date; name-deduplicated period filter.</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S14</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Swim Classification Records/Swim Test Administration Guide.docx</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Sections 7 and 11; no prior-season carryover and Form ASC-2 requirement.</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S15</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Camp Administration/Aquatics Staffing Plan 2026.docx</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Tables 1-2 and Sections 4, 6; 27 Corrigwell aquatics positions and season calendar.</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S16</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Camp Administration/Deadline Coordination Memo 2026.docx</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Narrative and Table 2; deadline owners and three July clocks.</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S17</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Insurance and Claims/Carrier Renewal Questionnaire Cover Letter 2026.pdf</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June 22 letter; Great Pines Mutual confirms July 2 deadline.</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S18</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State Licensing/State Finding Letter - Corrigwell 2026.pdf</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June 15 finding; 45-day CAP response and July 15 renewal requirement.</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S19</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State Licensing/Youth Camp License Renewal Application 2026.pdf</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Received stamp July 14; application states CAP in progress and due July 30.</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S20</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Camp Administration/Aquatics Leadership Meeting Minutes 2022-2026.docx</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June 15 and August 10 entries; re-assessment plan, 84% progress, August 12 package.</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S21</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Corporate Risk and Compliance/deadline reconciliation notes.md</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Lines 5-13; July calculations and recorded June 30 / July 14 / August 12 events.</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S22</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Corporate Risk and Compliance/camper-days recompute notes.md</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Lines 9-17; current campers first, 2025 swimmers as separate 2027-gating cohort, no testing unenrolled campers.</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S23</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Swim Classification Records/Corrigwell/2025/Corrigwell Swim Classification Roster 2025.xlsx</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Classification Roster, rows 7-818; 375 Swimmer/green rows.</w:t>
            </w:r>
          </w:p>
        </w:tc>
      </w:tr>
      <w:tr>
        <w:trPr>
          <w:cantSplit/>
        </w:trPr>
        <w:tc>
          <w:tcPr>
            <w:tcW w:type="dxa" w:w="648"/>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S24</w:t>
            </w:r>
          </w:p>
        </w:tc>
        <w:tc>
          <w:tcPr>
            <w:tcW w:type="dxa" w:w="5472"/>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Sibling Camp Files/[site]/[site] 2026 Swim Classification Roster</w:t>
            </w:r>
          </w:p>
        </w:tc>
        <w:tc>
          <w:tcPr>
            <w:tcW w:type="dxa" w:w="3816"/>
            <w:tcMar>
              <w:top w:w="24" w:type="dxa"/>
              <w:start w:w="65" w:type="dxa"/>
              <w:bottom w:w="24" w:type="dxa"/>
              <w:end w:w="65" w:type="dxa"/>
            </w:tcMar>
            <w:vAlign w:val="top"/>
            <w:shd w:fill="F3F5F7"/>
          </w:tcPr>
          <w:p>
            <w:pPr>
              <w:spacing w:after="0" w:line="221" w:lineRule="auto" w:before="0"/>
            </w:pPr>
            <w:r>
              <w:rPr>
                <w:rFonts w:ascii="Liberation Sans" w:hAnsi="Liberation Sans" w:eastAsia="Liberation Sans"/>
                <w:color w:val="1F2933"/>
                <w:sz w:val="12"/>
              </w:rPr>
              <w:t>Loon Hollow XLSX, Bluegill Point CSV, Otter Run XLSX; mandatory-column completeness and signature blocks.</w:t>
            </w:r>
          </w:p>
        </w:tc>
      </w:tr>
      <w:tr>
        <w:trPr>
          <w:cantSplit/>
        </w:trPr>
        <w:tc>
          <w:tcPr>
            <w:tcW w:type="dxa" w:w="648"/>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S25</w:t>
            </w:r>
          </w:p>
        </w:tc>
        <w:tc>
          <w:tcPr>
            <w:tcW w:type="dxa" w:w="5472"/>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Credential Records/WSI-LGI Course Completion Roster 2026.csv</w:t>
            </w:r>
          </w:p>
        </w:tc>
        <w:tc>
          <w:tcPr>
            <w:tcW w:type="dxa" w:w="3816"/>
            <w:tcMar>
              <w:top w:w="24" w:type="dxa"/>
              <w:start w:w="65" w:type="dxa"/>
              <w:bottom w:w="24" w:type="dxa"/>
              <w:end w:w="65" w:type="dxa"/>
            </w:tcMar>
            <w:vAlign w:val="top"/>
          </w:tcPr>
          <w:p>
            <w:pPr>
              <w:spacing w:after="0" w:line="221" w:lineRule="auto" w:before="0"/>
            </w:pPr>
            <w:r>
              <w:rPr>
                <w:rFonts w:ascii="Liberation Sans" w:hAnsi="Liberation Sans" w:eastAsia="Liberation Sans"/>
                <w:color w:val="1F2933"/>
                <w:sz w:val="12"/>
              </w:rPr>
              <w:t>Lines 2-27; excluded from availability count because no staff-ID/site-assignment crosswalk.</w:t>
            </w:r>
          </w:p>
        </w:tc>
      </w:tr>
    </w:tbl>
    <w:p>
      <w:pPr>
        <w:spacing w:after="0"/>
      </w:pPr>
    </w:p>
    <w:p>
      <w:pPr>
        <w:spacing w:after="40" w:line="259" w:lineRule="auto"/>
      </w:pPr>
      <w:r>
        <w:rPr>
          <w:rFonts w:ascii="Liberation Sans" w:hAnsi="Liberation Sans" w:eastAsia="Liberation Sans"/>
          <w:color w:val="1F2933"/>
          <w:sz w:val="18"/>
        </w:rPr>
        <w:t>Evidence limitation. No final 2026 authorized re-assessment roster, Form ASC-2 register, active-assignment credential crosswalk, or Bureau incident-reportability threshold was supplied. Those records are necessary to certify completed re-testing, actual assessor availability, and independent incident reportability. This limitation does not affect the row-level water, ratio, or missing-log findings above.</w:t>
      </w:r>
    </w:p>
    <w:sectPr w:rsidR="00FC693F" w:rsidRPr="0006063C" w:rsidSect="00034616">
      <w:headerReference w:type="default" r:id="rId9"/>
      <w:footerReference w:type="default" r:id="rId10"/>
      <w:pgSz w:w="12240" w:h="15840"/>
      <w:pgMar w:top="792" w:right="979" w:bottom="792"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2616B"/>
        <w:sz w:val="14"/>
      </w:rPr>
      <w:t xml:space="preserve">KVL compliance memo  |  </w:t>
    </w:r>
    <w:r>
      <w:rPr>
        <w:rFonts w:ascii="Liberation Sans" w:hAnsi="Liberation Sans" w:eastAsia="Liberation Sans"/>
        <w:color w:val="52616B"/>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12" w:space="2" w:color="087E8B"/>
      </w:pBdr>
    </w:pPr>
    <w:r>
      <w:rPr>
        <w:rFonts w:ascii="Liberation Sans" w:hAnsi="Liberation Sans" w:eastAsia="Liberation Sans"/>
        <w:b/>
        <w:color w:val="17324D"/>
        <w:sz w:val="17"/>
      </w:rPr>
      <w:t>KVL CAMPS</w:t>
    </w:r>
    <w:r>
      <w:rPr>
        <w:rFonts w:ascii="Liberation Sans" w:hAnsi="Liberation Sans" w:eastAsia="Liberation Sans"/>
        <w:b/>
        <w:color w:val="087E8B"/>
        <w:sz w:val="16"/>
      </w:rPr>
      <w:t xml:space="preserve">   |   BOARD AND LICENSING BUREAU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KVL Credential Compliance Audit Memorandum</dc:title>
  <dc:subject>Swim assessment sign-off, operating violations, staffing, and deadline reconciliation</dc:subject>
  <dc:creator>KVL Camps Operations Director</dc:creator>
  <cp:keywords>KVL, swim assessment, compliance, licensing, CAP</cp:keywords>
  <dc:description>generated by python-docx</dc:description>
  <cp:lastModifiedBy/>
  <cp:revision>1</cp:revision>
  <dcterms:created xsi:type="dcterms:W3CDTF">2013-12-23T23:15:00Z</dcterms:created>
  <dcterms:modified xsi:type="dcterms:W3CDTF">2013-12-23T23:15:00Z</dcterms:modified>
  <cp:category/>
</cp:coreProperties>
</file>