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widowControl/>
      </w:pPr>
      <w:r>
        <w:rPr>
          <w:rFonts w:ascii="Liberation Sans" w:hAnsi="Liberation Sans" w:eastAsia="Liberation Sans"/>
          <w:b/>
          <w:i w:val="0"/>
          <w:color w:val="17324D"/>
          <w:sz w:val="36"/>
        </w:rPr>
        <w:t>SWIM ASSESSMENT COMPLIANCE AUDIT</w:t>
      </w:r>
    </w:p>
    <w:p>
      <w:pPr>
        <w:spacing w:after="200"/>
        <w:widowControl/>
      </w:pPr>
      <w:r>
        <w:rPr>
          <w:rFonts w:ascii="Liberation Sans" w:hAnsi="Liberation Sans" w:eastAsia="Liberation Sans"/>
          <w:b w:val="0"/>
          <w:i w:val="0"/>
          <w:color w:val="0B6B6B"/>
          <w:sz w:val="20"/>
        </w:rPr>
        <w:t>Sign-off authority, operating exceptions and July 2026 deadlines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cantSplit/>
          <w:cantSplit/>
        </w:trPr>
        <w:tc>
          <w:tcPr>
            <w:tcW w:type="dxa" w:w="3384"/>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TO</w:t>
            </w:r>
          </w:p>
        </w:tc>
        <w:tc>
          <w:tcPr>
            <w:tcW w:type="dxa" w:w="1944"/>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FROM</w:t>
            </w:r>
          </w:p>
        </w:tc>
        <w:tc>
          <w:tcPr>
            <w:tcW w:type="dxa" w:w="1800"/>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REFERENCE DATE</w:t>
            </w:r>
          </w:p>
        </w:tc>
        <w:tc>
          <w:tcPr>
            <w:tcW w:type="dxa" w:w="3024"/>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SUBJECT</w:t>
            </w:r>
          </w:p>
        </w:tc>
      </w:tr>
      <w:tr>
        <w:trPr>
          <w:cantSplit/>
          <w:cantSplit/>
          <w:cantSplit/>
        </w:trPr>
        <w:tc>
          <w:tcPr>
            <w:tcW w:type="dxa" w:w="3384"/>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5"/>
              </w:rPr>
              <w:t>KVL Camps Board Risk Committee; Bureau of Youth Camp Licensing</w:t>
            </w:r>
          </w:p>
        </w:tc>
        <w:tc>
          <w:tcPr>
            <w:tcW w:type="dxa" w:w="1944"/>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5"/>
              </w:rPr>
              <w:t>Operations Director</w:t>
            </w:r>
          </w:p>
        </w:tc>
        <w:tc>
          <w:tcPr>
            <w:tcW w:type="dxa" w:w="180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5"/>
              </w:rPr>
              <w:t>July 1, 2026</w:t>
            </w:r>
          </w:p>
        </w:tc>
        <w:tc>
          <w:tcPr>
            <w:tcW w:type="dxa" w:w="3024"/>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5"/>
              </w:rPr>
              <w:t>Case BYC-FND-2026-0147</w:t>
            </w:r>
          </w:p>
        </w:tc>
      </w:tr>
    </w:tbl>
    <w:p>
      <w:pPr>
        <w:spacing w:after="0"/>
        <w:widowControl/>
      </w:pPr>
    </w:p>
    <w:tbl>
      <w:tblPr>
        <w:tblW w:type="auto" w:w="0"/>
        <w:jc w:val="center"/>
        <w:tblLayout w:type="fixed"/>
        <w:tblLook w:firstColumn="1" w:firstRow="1" w:lastColumn="0" w:lastRow="0" w:noHBand="0" w:noVBand="1" w:val="04A0"/>
      </w:tblPr>
      <w:tblGrid>
        <w:gridCol w:w="5184"/>
        <w:gridCol w:w="5184"/>
      </w:tblGrid>
      <w:tr>
        <w:trPr>
          <w:cantSplit/>
          <w:cantSplit/>
        </w:trPr>
        <w:tc>
          <w:tcPr>
            <w:tcW w:type="dxa" w:w="10138"/>
            <w:gridSpan w:val="2"/>
            <w:shd w:fill="FBE9E7"/>
            <w:tcMar>
              <w:top w:w="105" w:type="dxa"/>
              <w:start w:w="150" w:type="dxa"/>
              <w:bottom w:w="100" w:type="dxa"/>
              <w:end w:w="150" w:type="dxa"/>
            </w:tcMar>
            <w:vAlign w:val="center"/>
            <w:tcBorders>
              <w:left w:val="single" w:sz="32" w:color="A33A2B"/>
            </w:tcBorders>
          </w:tcPr>
          <w:p>
            <w:pPr>
              <w:spacing w:after="40"/>
            </w:pPr>
            <w:r>
              <w:rPr>
                <w:rFonts w:ascii="Liberation Sans" w:hAnsi="Liberation Sans" w:eastAsia="Liberation Sans"/>
              </w:rPr>
            </w:r>
            <w:r>
              <w:rPr>
                <w:rFonts w:ascii="Liberation Sans" w:hAnsi="Liberation Sans" w:eastAsia="Liberation Sans"/>
                <w:b/>
                <w:color w:val="A33A2B"/>
                <w:sz w:val="16"/>
              </w:rPr>
              <w:t>DETERMINATION</w:t>
            </w:r>
          </w:p>
          <w:p>
            <w:pPr>
              <w:spacing w:after="0" w:line="250" w:lineRule="auto"/>
            </w:pPr>
            <w:r>
              <w:rPr>
                <w:rFonts w:ascii="Liberation Sans" w:hAnsi="Liberation Sans" w:eastAsia="Liberation Sans"/>
                <w:b w:val="0"/>
                <w:sz w:val="17"/>
              </w:rPr>
              <w:t>Corrigwell is the only site supported as unauthorized-and-examined. The full 2026 roster contains 800 affected classifications and no identity-valid corrective roster can be credited from the supplied archive. No 2026 wristband is authorized to carry into 2027. Although 33 people hold a qualifying credential through August 20, the archive documents zero people as both Corrigwell-available and Form ASC-2-cleared. Completion by a July deadline, or by season close, therefore cannot be certified.</w:t>
            </w:r>
          </w:p>
        </w:tc>
      </w:tr>
    </w:tbl>
    <w:p>
      <w:pPr>
        <w:spacing w:after="0"/>
        <w:widowControl/>
      </w:pPr>
    </w:p>
    <w:p>
      <w:pPr>
        <w:pStyle w:val="Heading1"/>
        <w:keepNext/>
        <w:widowControl/>
      </w:pPr>
      <w:r>
        <w:rPr>
          <w:rFonts w:ascii="Liberation Sans" w:hAnsi="Liberation Sans" w:eastAsia="Liberation Sans"/>
          <w:b/>
          <w:i w:val="0"/>
          <w:color w:val="0B6B6B"/>
        </w:rPr>
        <w:t>Executive Conclusions</w:t>
      </w:r>
    </w:p>
    <w:p>
      <w:pPr>
        <w:pStyle w:val="MemoBullet"/>
        <w:widowControl/>
      </w:pPr>
      <w:r>
        <w:rPr>
          <w:rFonts w:ascii="Liberation Sans" w:hAnsi="Liberation Sans" w:eastAsia="Liberation Sans"/>
          <w:b/>
          <w:i w:val="0"/>
          <w:color w:val="0B6B6B"/>
        </w:rPr>
        <w:t xml:space="preserve">- </w:t>
      </w:r>
      <w:r>
        <w:rPr>
          <w:rFonts w:ascii="Liberation Sans" w:hAnsi="Liberation Sans" w:eastAsia="Liberation Sans"/>
          <w:b w:val="0"/>
          <w:i w:val="0"/>
        </w:rPr>
        <w:t>Reportable credential finding: Corrigwell's season roster is certified by Martin T. Eberly under AQS. The controlling matrix grants AQS no swim-assessment authority; WSI, LGI and LG-WF require Form ASC-2. [S1, Authorization Matrix rows 10-13; S2, sections 3 and 9; S3, Classification Roster rows 809-812]</w:t>
      </w:r>
    </w:p>
    <w:p>
      <w:pPr>
        <w:pStyle w:val="MemoBullet"/>
        <w:widowControl/>
      </w:pPr>
      <w:r>
        <w:rPr>
          <w:rFonts w:ascii="Liberation Sans" w:hAnsi="Liberation Sans" w:eastAsia="Liberation Sans"/>
          <w:b/>
          <w:i w:val="0"/>
          <w:color w:val="0B6B6B"/>
        </w:rPr>
        <w:t xml:space="preserve">- </w:t>
      </w:r>
      <w:r>
        <w:rPr>
          <w:rFonts w:ascii="Liberation Sans" w:hAnsi="Liberation Sans" w:eastAsia="Liberation Sans"/>
          <w:b w:val="0"/>
          <w:i w:val="0"/>
        </w:rPr>
        <w:t>Re-test scope: 800 full-season records = 280 Session 1 + 288 Session 2 + 232 Session 3. At the July 1 decision point only the 280 Session 1 campers were current and evidenced; the later 520 rows are a post-July 1 expansion. [S3, rows 7-806; S14, Session Calendar rows 6-8]</w:t>
      </w:r>
    </w:p>
    <w:p>
      <w:pPr>
        <w:pStyle w:val="MemoBullet"/>
        <w:widowControl/>
      </w:pPr>
      <w:r>
        <w:rPr>
          <w:rFonts w:ascii="Liberation Sans" w:hAnsi="Liberation Sans" w:eastAsia="Liberation Sans"/>
          <w:b/>
          <w:i w:val="0"/>
          <w:color w:val="0B6B6B"/>
        </w:rPr>
        <w:t xml:space="preserve">- </w:t>
      </w:r>
      <w:r>
        <w:rPr>
          <w:rFonts w:ascii="Liberation Sans" w:hAnsi="Liberation Sans" w:eastAsia="Liberation Sans"/>
          <w:b w:val="0"/>
          <w:i w:val="0"/>
        </w:rPr>
        <w:t>2027 wristbands: zero may carry forward. Prior-season bands are history only; every camper is tested each season. The archive does not identify which campers will actually enroll in 2027. [S5, section 7; S16, Section A]</w:t>
      </w:r>
    </w:p>
    <w:p>
      <w:pPr>
        <w:pStyle w:val="MemoBullet"/>
        <w:widowControl/>
      </w:pPr>
      <w:r>
        <w:rPr>
          <w:rFonts w:ascii="Liberation Sans" w:hAnsi="Liberation Sans" w:eastAsia="Liberation Sans"/>
          <w:b/>
          <w:i w:val="0"/>
          <w:color w:val="0B6B6B"/>
        </w:rPr>
        <w:t xml:space="preserve">- </w:t>
      </w:r>
      <w:r>
        <w:rPr>
          <w:rFonts w:ascii="Liberation Sans" w:hAnsi="Liberation Sans" w:eastAsia="Liberation Sans"/>
          <w:b w:val="0"/>
          <w:i w:val="0"/>
        </w:rPr>
        <w:t>Operating exceptions: Corrigwell's primary logs contradict later internal 'clean record' narratives. Through July 1, the camper-season record shows 12 stabilized-water chlorine readings below 2.0 ppm, four buddy-board-based 1:25 breaches, 129 count mismatches, seven incident records without follow-up, one rescue-equipment inconsistency, and no water/ratio record for June 28 despite three incidents. [S7-S10]</w:t>
      </w:r>
    </w:p>
    <w:p>
      <w:pPr>
        <w:pStyle w:val="MemoBullet"/>
        <w:widowControl/>
      </w:pPr>
      <w:r>
        <w:rPr>
          <w:rFonts w:ascii="Liberation Sans" w:hAnsi="Liberation Sans" w:eastAsia="Liberation Sans"/>
          <w:b/>
          <w:i w:val="0"/>
          <w:color w:val="0B6B6B"/>
        </w:rPr>
        <w:t xml:space="preserve">- </w:t>
      </w:r>
      <w:r>
        <w:rPr>
          <w:rFonts w:ascii="Liberation Sans" w:hAnsi="Liberation Sans" w:eastAsia="Liberation Sans"/>
          <w:b w:val="0"/>
          <w:i w:val="0"/>
        </w:rPr>
        <w:t>Deadlines: underwriting July 2 (tomorrow), license application July 15 (14 days away), CAP response/implementation July 30 (29 days away), and season close August 20 (50 days away). July 14 is the later application filing date and does not reset the June 15 + 45-day CAP clock. [S11-S16]</w:t>
      </w:r>
    </w:p>
    <w:p>
      <w:pPr>
        <w:pStyle w:val="Heading1"/>
        <w:keepNext/>
        <w:widowControl/>
      </w:pPr>
      <w:r>
        <w:rPr>
          <w:rFonts w:ascii="Liberation Sans" w:hAnsi="Liberation Sans" w:eastAsia="Liberation Sans"/>
          <w:b/>
          <w:i w:val="0"/>
          <w:color w:val="0B6B6B"/>
        </w:rPr>
        <w:t>Evidence Basis And Governing Authority</w:t>
      </w:r>
    </w:p>
    <w:p>
      <w:pPr>
        <w:spacing w:before="0" w:after="80" w:line="254" w:lineRule="auto"/>
        <w:widowControl/>
      </w:pPr>
      <w:r>
        <w:rPr>
          <w:rFonts w:ascii="Liberation Sans" w:hAnsi="Liberation Sans" w:eastAsia="Liberation Sans"/>
          <w:b/>
          <w:i w:val="0"/>
        </w:rPr>
        <w:t xml:space="preserve">Chronology. </w:t>
      </w:r>
      <w:r>
        <w:rPr>
          <w:rFonts w:ascii="Liberation Sans" w:hAnsi="Liberation Sans" w:eastAsia="Liberation Sans"/>
          <w:b w:val="0"/>
          <w:i w:val="0"/>
        </w:rPr>
        <w:t xml:space="preserve">The management brief uses July 1 as 'today,' but the Bureau's controlling finding is dated June 15, 2026. This memo therefore treats July 1 as the internal escalation/reference date, not the legal start of the CAP clock. The archive also contains documents and transactions dated after July 1. They are labeled below as later outcome evidence and are not presented as facts knowable on July 1. </w:t>
      </w:r>
      <w:r>
        <w:rPr>
          <w:rFonts w:ascii="Liberation Sans" w:hAnsi="Liberation Sans" w:eastAsia="Liberation Sans"/>
          <w:b w:val="0"/>
          <w:i w:val="0"/>
          <w:color w:val="536474"/>
          <w:sz w:val="14"/>
        </w:rPr>
        <w:t>[S11; S13, page 1]</w:t>
      </w:r>
    </w:p>
    <w:p>
      <w:pPr>
        <w:spacing w:before="0" w:after="80" w:line="254" w:lineRule="auto"/>
        <w:widowControl/>
      </w:pPr>
      <w:r>
        <w:rPr>
          <w:rFonts w:ascii="Liberation Sans" w:hAnsi="Liberation Sans" w:eastAsia="Liberation Sans"/>
          <w:b/>
          <w:i w:val="0"/>
        </w:rPr>
        <w:t xml:space="preserve">Authority hierarchy. </w:t>
      </w:r>
      <w:r>
        <w:rPr>
          <w:rFonts w:ascii="Liberation Sans" w:hAnsi="Liberation Sans" w:eastAsia="Liberation Sans"/>
          <w:b w:val="0"/>
          <w:i w:val="0"/>
        </w:rPr>
        <w:t xml:space="preserve">For credential authority, the Credential-Track Authorization Matrix is the controlling copy; the authorization standard expressly defers to it. For operating compliance, the row-level water, ratio and incident logs are primary records tested against the Waterfront Standard Operating Policies. The July 6 Scope Isolation Memo and CAP narrative call the operating record clean, but those narratives do not override contrary primary-log entries. The Bureau's June 15 statement of no adverse operational finding governs only the records and question it reviewed; it does not waive newly identified exceptions. </w:t>
      </w:r>
      <w:r>
        <w:rPr>
          <w:rFonts w:ascii="Liberation Sans" w:hAnsi="Liberation Sans" w:eastAsia="Liberation Sans"/>
          <w:b w:val="0"/>
          <w:i w:val="0"/>
          <w:color w:val="536474"/>
          <w:sz w:val="14"/>
        </w:rPr>
        <w:t>[S1, rows 2 and 10-13; S2, introduction; S6, sections 2, 4 and 6; S13, page 1; S19, Purpose and Conclusion]</w:t>
      </w:r>
    </w:p>
    <w:p>
      <w:pPr>
        <w:spacing w:before="0" w:after="80" w:line="254" w:lineRule="auto"/>
        <w:widowControl/>
      </w:pPr>
      <w:r>
        <w:rPr>
          <w:rFonts w:ascii="Liberation Sans" w:hAnsi="Liberation Sans" w:eastAsia="Liberation Sans"/>
          <w:b/>
          <w:i w:val="0"/>
        </w:rPr>
        <w:t xml:space="preserve">Audit chain. </w:t>
      </w:r>
      <w:r>
        <w:rPr>
          <w:rFonts w:ascii="Liberation Sans" w:hAnsi="Liberation Sans" w:eastAsia="Liberation Sans"/>
          <w:b w:val="0"/>
          <w:i w:val="0"/>
        </w:rPr>
        <w:t xml:space="preserve">The roster identifies the signer, the site certification file establishes credential currency, and the matrix establishes duty authority. No one record proves compliance alone. The six-site denominator is Corrigwell, Loon Hollow, Tamarack Ridge, Bluegill Point, Heron Landing and Otter Run. NYC and Chicago regional public files were excluded; no KVL location is delisted. </w:t>
      </w:r>
      <w:r>
        <w:rPr>
          <w:rFonts w:ascii="Liberation Sans" w:hAnsi="Liberation Sans" w:eastAsia="Liberation Sans"/>
          <w:b w:val="0"/>
          <w:i w:val="0"/>
          <w:color w:val="536474"/>
          <w:sz w:val="14"/>
        </w:rPr>
        <w:t>[S2, section 5; S17, sections 1 and 7; S18, License Register rows 22-23, 42-43, 62-63, 82-83, 102-103 and 122-123]</w:t>
      </w:r>
    </w:p>
    <w:p>
      <w:pPr>
        <w:pStyle w:val="Heading1"/>
        <w:keepNext/>
        <w:pageBreakBefore/>
        <w:widowControl/>
      </w:pPr>
      <w:r>
        <w:rPr>
          <w:rFonts w:ascii="Liberation Sans" w:hAnsi="Liberation Sans" w:eastAsia="Liberation Sans"/>
          <w:b/>
          <w:i w:val="0"/>
          <w:color w:val="0B6B6B"/>
        </w:rPr>
        <w:t>Six-Site Sign-off Audit</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cantSplit/>
          <w:cantSplit/>
        </w:trPr>
        <w:tc>
          <w:tcPr>
            <w:tcW w:type="dxa" w:w="1440"/>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SITE</w:t>
            </w:r>
          </w:p>
        </w:tc>
        <w:tc>
          <w:tcPr>
            <w:tcW w:type="dxa" w:w="3600"/>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SIGN-OFF EVIDENCE</w:t>
            </w:r>
          </w:p>
        </w:tc>
        <w:tc>
          <w:tcPr>
            <w:tcW w:type="dxa" w:w="2520"/>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CLASSIFICATION</w:t>
            </w:r>
          </w:p>
        </w:tc>
        <w:tc>
          <w:tcPr>
            <w:tcW w:type="dxa" w:w="2592"/>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DISPOSITION</w:t>
            </w:r>
          </w:p>
        </w:tc>
      </w:tr>
      <w:tr>
        <w:trPr>
          <w:cantSplit/>
          <w:cantSplit/>
          <w:cantSplit/>
        </w:trPr>
        <w:tc>
          <w:tcPr>
            <w:tcW w:type="dxa" w:w="144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Corrigwell</w:t>
            </w:r>
          </w:p>
        </w:tc>
        <w:tc>
          <w:tcPr>
            <w:tcW w:type="dxa" w:w="360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AQS block signed 6/26; AQS is not authorized. Block purports to cover later rows.</w:t>
            </w:r>
          </w:p>
        </w:tc>
        <w:tc>
          <w:tcPr>
            <w:tcW w:type="dxa" w:w="252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Unauthorized-and-examined; 800 affected. 520 tests post-date signature.</w:t>
            </w:r>
          </w:p>
        </w:tc>
        <w:tc>
          <w:tcPr>
            <w:tcW w:type="dxa" w:w="2592"/>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Bureau scope; operating-log audit performed.</w:t>
            </w:r>
          </w:p>
        </w:tc>
      </w:tr>
      <w:tr>
        <w:trPr>
          <w:cantSplit/>
          <w:cantSplit/>
          <w:cantSplit/>
        </w:trPr>
        <w:tc>
          <w:tcPr>
            <w:tcW w:type="dxa" w:w="1440"/>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Loon Hollow</w:t>
            </w:r>
          </w:p>
        </w:tc>
        <w:tc>
          <w:tcPr>
            <w:tcW w:type="dxa" w:w="3600"/>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Dana Kessler, WSI, signed 6/26; WSI is authorized.</w:t>
            </w:r>
          </w:p>
        </w:tc>
        <w:tc>
          <w:tcPr>
            <w:tcW w:type="dxa" w:w="2520"/>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Credential-cleared. Separate timing gap: 137 later test rows lack a later session block.</w:t>
            </w:r>
          </w:p>
        </w:tc>
        <w:tc>
          <w:tcPr>
            <w:tcW w:type="dxa" w:w="2592"/>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No reassessment finding; correct roster closure practice.</w:t>
            </w:r>
          </w:p>
        </w:tc>
      </w:tr>
      <w:tr>
        <w:trPr>
          <w:cantSplit/>
          <w:cantSplit/>
          <w:cantSplit/>
        </w:trPr>
        <w:tc>
          <w:tcPr>
            <w:tcW w:type="dxa" w:w="144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Tamarack Ridge</w:t>
            </w:r>
          </w:p>
        </w:tc>
        <w:tc>
          <w:tcPr>
            <w:tcW w:type="dxa" w:w="360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2026 roster/certification chain not supplied to sweep.</w:t>
            </w:r>
          </w:p>
        </w:tc>
        <w:tc>
          <w:tcPr>
            <w:tcW w:type="dxa" w:w="252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Never-examined; deferred.</w:t>
            </w:r>
          </w:p>
        </w:tc>
        <w:tc>
          <w:tcPr>
            <w:tcW w:type="dxa" w:w="2592"/>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Segregated; neither clear nor noncompliant.</w:t>
            </w:r>
          </w:p>
        </w:tc>
      </w:tr>
      <w:tr>
        <w:trPr>
          <w:cantSplit/>
          <w:cantSplit/>
          <w:cantSplit/>
        </w:trPr>
        <w:tc>
          <w:tcPr>
            <w:tcW w:type="dxa" w:w="1440"/>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Bluegill Point</w:t>
            </w:r>
          </w:p>
        </w:tc>
        <w:tc>
          <w:tcPr>
            <w:tcW w:type="dxa" w:w="3600"/>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Local roster has LG-WF block dated 6/26, but no certification/ASC-2 chain; 118 later rows.</w:t>
            </w:r>
          </w:p>
        </w:tc>
        <w:tc>
          <w:tcPr>
            <w:tcW w:type="dxa" w:w="2520"/>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Never-examined; deferred.</w:t>
            </w:r>
          </w:p>
        </w:tc>
        <w:tc>
          <w:tcPr>
            <w:tcW w:type="dxa" w:w="2592"/>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Segregated; local block cannot create clearance.</w:t>
            </w:r>
          </w:p>
        </w:tc>
      </w:tr>
      <w:tr>
        <w:trPr>
          <w:cantSplit/>
          <w:cantSplit/>
          <w:cantSplit/>
        </w:trPr>
        <w:tc>
          <w:tcPr>
            <w:tcW w:type="dxa" w:w="144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Heron Landing</w:t>
            </w:r>
          </w:p>
        </w:tc>
        <w:tc>
          <w:tcPr>
            <w:tcW w:type="dxa" w:w="360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2026 roster/certification chain not supplied to sweep.</w:t>
            </w:r>
          </w:p>
        </w:tc>
        <w:tc>
          <w:tcPr>
            <w:tcW w:type="dxa" w:w="252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Never-examined; deferred.</w:t>
            </w:r>
          </w:p>
        </w:tc>
        <w:tc>
          <w:tcPr>
            <w:tcW w:type="dxa" w:w="2592"/>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Segregated; neither clear nor noncompliant.</w:t>
            </w:r>
          </w:p>
        </w:tc>
      </w:tr>
      <w:tr>
        <w:trPr>
          <w:cantSplit/>
          <w:cantSplit/>
          <w:cantSplit/>
        </w:trPr>
        <w:tc>
          <w:tcPr>
            <w:tcW w:type="dxa" w:w="1440"/>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Otter Run</w:t>
            </w:r>
          </w:p>
        </w:tc>
        <w:tc>
          <w:tcPr>
            <w:tcW w:type="dxa" w:w="3600"/>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Local roster has WSI block dated 6/26, but no certification/ASC-2 chain; 98 later rows.</w:t>
            </w:r>
          </w:p>
        </w:tc>
        <w:tc>
          <w:tcPr>
            <w:tcW w:type="dxa" w:w="2520"/>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Never-examined; deferred.</w:t>
            </w:r>
          </w:p>
        </w:tc>
        <w:tc>
          <w:tcPr>
            <w:tcW w:type="dxa" w:w="2592"/>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Segregated; local block cannot create clearance.</w:t>
            </w:r>
          </w:p>
        </w:tc>
      </w:tr>
    </w:tbl>
    <w:p>
      <w:pPr>
        <w:spacing w:after="0"/>
        <w:widowControl/>
      </w:pPr>
    </w:p>
    <w:p>
      <w:pPr>
        <w:spacing w:before="0" w:after="40" w:line="254" w:lineRule="auto"/>
        <w:widowControl/>
      </w:pPr>
      <w:r>
        <w:rPr>
          <w:rFonts w:ascii="Liberation Sans" w:hAnsi="Liberation Sans" w:eastAsia="Liberation Sans"/>
          <w:b w:val="0"/>
          <w:i w:val="0"/>
          <w:color w:val="536474"/>
          <w:sz w:val="14"/>
        </w:rPr>
        <w:t>Sources: [S17, Table 2 and sections 3-7]; [S3, rows 809-812]; [S20, Classification Roster rows 219-221]; [S21, lines 183-185]; [S22, rows 159-161]; [S23, paragraph 14]. The August 7 sweep is later outcome evidence. Its one unauthorized, one cleared and four never-examined states govern over informal staffing-file indications because it applies the three-document chain.</w:t>
      </w:r>
    </w:p>
    <w:p>
      <w:pPr>
        <w:spacing w:before="0" w:after="80" w:line="254" w:lineRule="auto"/>
        <w:widowControl/>
      </w:pPr>
      <w:r>
        <w:rPr>
          <w:rFonts w:ascii="Liberation Sans" w:hAnsi="Liberation Sans" w:eastAsia="Liberation Sans"/>
          <w:b/>
          <w:i w:val="0"/>
        </w:rPr>
        <w:t xml:space="preserve">Licensing status. </w:t>
      </w:r>
      <w:r>
        <w:rPr>
          <w:rFonts w:ascii="Liberation Sans" w:hAnsi="Liberation Sans" w:eastAsia="Liberation Sans"/>
          <w:b w:val="0"/>
          <w:i w:val="0"/>
        </w:rPr>
        <w:t xml:space="preserve">All six sites have active 2026 youth-camp licenses and active waterfront permits: 6 / 6 active sites and 12 / 12 current instruments. There are zero delisted KVL locations. Historical 'expired-superseded' entries are not delistings. </w:t>
      </w:r>
      <w:r>
        <w:rPr>
          <w:rFonts w:ascii="Liberation Sans" w:hAnsi="Liberation Sans" w:eastAsia="Liberation Sans"/>
          <w:b w:val="0"/>
          <w:i w:val="0"/>
          <w:color w:val="536474"/>
          <w:sz w:val="14"/>
        </w:rPr>
        <w:t>[S18, cited License Register rows]</w:t>
      </w:r>
    </w:p>
    <w:p>
      <w:pPr>
        <w:pStyle w:val="Heading1"/>
        <w:keepNext/>
        <w:widowControl/>
      </w:pPr>
      <w:r>
        <w:rPr>
          <w:rFonts w:ascii="Liberation Sans" w:hAnsi="Liberation Sans" w:eastAsia="Liberation Sans"/>
          <w:b/>
          <w:i w:val="0"/>
          <w:color w:val="0B6B6B"/>
        </w:rPr>
        <w:t>Corrigwell Re-assessment Scope</w:t>
      </w:r>
    </w:p>
    <w:p>
      <w:pPr>
        <w:spacing w:before="0" w:after="80" w:line="254" w:lineRule="auto"/>
        <w:widowControl/>
      </w:pPr>
      <w:r>
        <w:rPr>
          <w:rFonts w:ascii="Liberation Sans" w:hAnsi="Liberation Sans" w:eastAsia="Liberation Sans"/>
          <w:b/>
          <w:i w:val="0"/>
          <w:color w:val="A33A2B"/>
        </w:rPr>
        <w:t xml:space="preserve">Final archive scope: 800 campers. </w:t>
      </w:r>
      <w:r>
        <w:rPr>
          <w:rFonts w:ascii="Liberation Sans" w:hAnsi="Liberation Sans" w:eastAsia="Liberation Sans"/>
          <w:b w:val="0"/>
          <w:i w:val="0"/>
        </w:rPr>
        <w:t xml:space="preserve">The governing roster has 800 data rows (806 - 7 + 1) split as 280 + 288 + 232. Its signature note extends the June 26 AQS certification to later-appended rows. Under the bright-line standard, each classification under that unauthorized certification must be re-administered. The enrollment projection of 798 (266 x 3) and buddy-board observation total of 814 are not the test-record denominator; the roster governs. </w:t>
      </w:r>
      <w:r>
        <w:rPr>
          <w:rFonts w:ascii="Liberation Sans" w:hAnsi="Liberation Sans" w:eastAsia="Liberation Sans"/>
          <w:b w:val="0"/>
          <w:i w:val="0"/>
          <w:color w:val="536474"/>
          <w:sz w:val="14"/>
        </w:rPr>
        <w:t>[S3, rows 7-806 and 809-812; S2, sections 2, 5 and 9; S14, rows 6-8]</w:t>
      </w:r>
    </w:p>
    <w:p>
      <w:pPr>
        <w:spacing w:before="0" w:after="80" w:line="254" w:lineRule="auto"/>
        <w:widowControl/>
      </w:pPr>
      <w:r>
        <w:rPr>
          <w:rFonts w:ascii="Liberation Sans" w:hAnsi="Liberation Sans" w:eastAsia="Liberation Sans"/>
          <w:b/>
          <w:i w:val="0"/>
        </w:rPr>
        <w:t xml:space="preserve">July 1 scope: 280 current campers. </w:t>
      </w:r>
      <w:r>
        <w:rPr>
          <w:rFonts w:ascii="Liberation Sans" w:hAnsi="Liberation Sans" w:eastAsia="Liberation Sans"/>
          <w:b w:val="0"/>
          <w:i w:val="0"/>
        </w:rPr>
        <w:t xml:space="preserve">Only Session 1 existed in the record at the reference date. Those 280 campers were tested June 22-26 and remained enrolled to July 11. Sessions 2 and 3 should have received valid first assessments, not re-tests. The post-July 1 roster shows that containment failed and added 520 unsupported records; it must not be back-dated into the July 1 knowledge base. </w:t>
      </w:r>
      <w:r>
        <w:rPr>
          <w:rFonts w:ascii="Liberation Sans" w:hAnsi="Liberation Sans" w:eastAsia="Liberation Sans"/>
          <w:b w:val="0"/>
          <w:i w:val="0"/>
          <w:color w:val="536474"/>
          <w:sz w:val="14"/>
        </w:rPr>
        <w:t>[S3, rows 7-286 and 287-806; S14, rows 6-8; S17, section 3]</w:t>
      </w:r>
    </w:p>
    <w:p>
      <w:pPr>
        <w:spacing w:before="0" w:after="80" w:line="254" w:lineRule="auto"/>
        <w:widowControl/>
      </w:pPr>
      <w:r>
        <w:rPr>
          <w:rFonts w:ascii="Liberation Sans" w:hAnsi="Liberation Sans" w:eastAsia="Liberation Sans"/>
          <w:b/>
          <w:i w:val="0"/>
        </w:rPr>
        <w:t xml:space="preserve">No corrective credit from supplied records. </w:t>
      </w:r>
      <w:r>
        <w:rPr>
          <w:rFonts w:ascii="Liberation Sans" w:hAnsi="Liberation Sans" w:eastAsia="Liberation Sans"/>
          <w:b w:val="0"/>
          <w:i w:val="0"/>
        </w:rPr>
        <w:t xml:space="preserve">The Test Events sheet contains 144 / 144 Camper ID-to-name mismatches against the roster. The beginner retest CSV contains 62 / 62 mismatches and only 59 unique IDs because C26-0309, C26-0552 and C26-0786 each appear twice under different names. Those files cannot prove who was re-tested, and no authorized closure roster is supplied. Thus 800 - 0 identity-valid documented corrective assessments = 800 unsupported classifications in the complete archive. </w:t>
      </w:r>
      <w:r>
        <w:rPr>
          <w:rFonts w:ascii="Liberation Sans" w:hAnsi="Liberation Sans" w:eastAsia="Liberation Sans"/>
          <w:b w:val="0"/>
          <w:i w:val="0"/>
          <w:color w:val="536474"/>
          <w:sz w:val="14"/>
        </w:rPr>
        <w:t>[S4, Test Events rows 6-149; S24, lines 2-63; S5, section 12; S15, section 7]</w:t>
      </w:r>
    </w:p>
    <w:p>
      <w:pPr>
        <w:spacing w:before="0" w:after="80" w:line="254" w:lineRule="auto"/>
        <w:widowControl/>
      </w:pPr>
      <w:r>
        <w:rPr>
          <w:rFonts w:ascii="Liberation Sans" w:hAnsi="Liberation Sans" w:eastAsia="Liberation Sans"/>
          <w:b/>
          <w:i w:val="0"/>
        </w:rPr>
        <w:t xml:space="preserve">Wristbands into 2027: zero authorized carry-forward. </w:t>
      </w:r>
      <w:r>
        <w:rPr>
          <w:rFonts w:ascii="Liberation Sans" w:hAnsi="Liberation Sans" w:eastAsia="Liberation Sans"/>
          <w:b w:val="0"/>
          <w:i w:val="0"/>
        </w:rPr>
        <w:t xml:space="preserve">The administration guide requires a fresh test every season. Although 488 / 800 rows contain a prior-season-band value and 312 are blank, those fields are historical and do not create a 2027 band. The 2027 application projects about 820 campers but does not name returners, so the number physically returning cannot be determined from this archive. </w:t>
      </w:r>
      <w:r>
        <w:rPr>
          <w:rFonts w:ascii="Liberation Sans" w:hAnsi="Liberation Sans" w:eastAsia="Liberation Sans"/>
          <w:b w:val="0"/>
          <w:i w:val="0"/>
          <w:color w:val="536474"/>
          <w:sz w:val="14"/>
        </w:rPr>
        <w:t>[S3, column M rows 7-806; S5, section 7; S16, Section A]</w:t>
      </w:r>
    </w:p>
    <w:p>
      <w:pPr>
        <w:spacing w:before="0" w:after="80" w:line="254" w:lineRule="auto"/>
        <w:widowControl/>
      </w:pPr>
      <w:r>
        <w:rPr>
          <w:rFonts w:ascii="Liberation Sans" w:hAnsi="Liberation Sans" w:eastAsia="Liberation Sans"/>
          <w:b/>
          <w:i w:val="0"/>
        </w:rPr>
        <w:t xml:space="preserve">Swimmer information. </w:t>
      </w:r>
      <w:r>
        <w:rPr>
          <w:rFonts w:ascii="Liberation Sans" w:hAnsi="Liberation Sans" w:eastAsia="Liberation Sans"/>
          <w:b w:val="0"/>
          <w:i w:val="0"/>
        </w:rPr>
        <w:t xml:space="preserve">No mandatory governing-roster field is blank: Camper ID through Buddy Group (columns A-L) are complete in all 800 rows. Optional fields have 312 prior-band blanks and 725 notes blanks. The answer to omission is therefore no for the roster, but the all-row identity mismatches in the summary and retest files are a material integrity failure. </w:t>
      </w:r>
      <w:r>
        <w:rPr>
          <w:rFonts w:ascii="Liberation Sans" w:hAnsi="Liberation Sans" w:eastAsia="Liberation Sans"/>
          <w:b w:val="0"/>
          <w:i w:val="0"/>
          <w:color w:val="536474"/>
          <w:sz w:val="14"/>
        </w:rPr>
        <w:t>[S3, rows 6-806; S4, rows 6-149; S24, lines 2-63]</w:t>
      </w:r>
    </w:p>
    <w:p>
      <w:pPr>
        <w:pStyle w:val="Heading1"/>
        <w:keepNext/>
        <w:pageBreakBefore/>
        <w:widowControl/>
      </w:pPr>
      <w:r>
        <w:rPr>
          <w:rFonts w:ascii="Liberation Sans" w:hAnsi="Liberation Sans" w:eastAsia="Liberation Sans"/>
          <w:b/>
          <w:i w:val="0"/>
          <w:color w:val="0B6B6B"/>
        </w:rPr>
        <w:t>Operating Violations To Report Separately</w:t>
      </w:r>
    </w:p>
    <w:p>
      <w:pPr>
        <w:spacing w:before="0" w:after="80" w:line="254" w:lineRule="auto"/>
        <w:widowControl/>
      </w:pPr>
      <w:r>
        <w:rPr>
          <w:rFonts w:ascii="Liberation Sans" w:hAnsi="Liberation Sans" w:eastAsia="Liberation Sans"/>
          <w:b/>
          <w:i w:val="0"/>
        </w:rPr>
        <w:t xml:space="preserve">Scope rule. </w:t>
      </w:r>
      <w:r>
        <w:rPr>
          <w:rFonts w:ascii="Liberation Sans" w:hAnsi="Liberation Sans" w:eastAsia="Liberation Sans"/>
          <w:b w:val="0"/>
          <w:i w:val="0"/>
        </w:rPr>
        <w:t xml:space="preserve">These exceptions are not evidence of the credential defect and must be reported as a separate operating-control finding. Corrigwell is the only unauthorized-and-examined location, so its complete 2026 water, ratio and incident logs were audited. Deferred sites remain segregated; their partial local operating files were not used to imply credential compliance or noncompliance. </w:t>
      </w:r>
      <w:r>
        <w:rPr>
          <w:rFonts w:ascii="Liberation Sans" w:hAnsi="Liberation Sans" w:eastAsia="Liberation Sans"/>
          <w:b w:val="0"/>
          <w:i w:val="0"/>
          <w:color w:val="536474"/>
          <w:sz w:val="14"/>
        </w:rPr>
        <w:t>[S6-S10; S17, section 10]</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cantSplit/>
          <w:cantSplit/>
        </w:trPr>
        <w:tc>
          <w:tcPr>
            <w:tcW w:type="dxa" w:w="2376"/>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CONTROL EXCEPTION</w:t>
            </w:r>
          </w:p>
        </w:tc>
        <w:tc>
          <w:tcPr>
            <w:tcW w:type="dxa" w:w="2016"/>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THROUGH JULY 1</w:t>
            </w:r>
          </w:p>
        </w:tc>
        <w:tc>
          <w:tcPr>
            <w:tcW w:type="dxa" w:w="2232"/>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COMPLETE 2026 ARCHIVE</w:t>
            </w:r>
          </w:p>
        </w:tc>
        <w:tc>
          <w:tcPr>
            <w:tcW w:type="dxa" w:w="3528"/>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TEST / BASIS</w:t>
            </w:r>
          </w:p>
        </w:tc>
      </w:tr>
      <w:tr>
        <w:trPr>
          <w:cantSplit/>
          <w:cantSplit/>
          <w:cantSplit/>
        </w:trPr>
        <w:tc>
          <w:tcPr>
            <w:tcW w:type="dxa" w:w="2376"/>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Stabilized water below 2.0 ppm</w:t>
            </w:r>
          </w:p>
        </w:tc>
        <w:tc>
          <w:tcPr>
            <w:tcW w:type="dxa" w:w="2016"/>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12 camper-season readings; 25 including staff week</w:t>
            </w:r>
          </w:p>
        </w:tc>
        <w:tc>
          <w:tcPr>
            <w:tcW w:type="dxa" w:w="2232"/>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49 camper-season readings; 62 including staff week</w:t>
            </w:r>
          </w:p>
        </w:tc>
        <w:tc>
          <w:tcPr>
            <w:tcW w:type="dxa" w:w="3528"/>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Area must close until a logged confirming re-test.</w:t>
            </w:r>
          </w:p>
        </w:tc>
      </w:tr>
      <w:tr>
        <w:trPr>
          <w:cantSplit/>
          <w:cantSplit/>
          <w:cantSplit/>
        </w:trPr>
        <w:tc>
          <w:tcPr>
            <w:tcW w:type="dxa" w:w="2376"/>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1:25 guard breaches</w:t>
            </w:r>
          </w:p>
        </w:tc>
        <w:tc>
          <w:tcPr>
            <w:tcW w:type="dxa" w:w="2016"/>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4 rotations</w:t>
            </w:r>
          </w:p>
        </w:tc>
        <w:tc>
          <w:tcPr>
            <w:tcW w:type="dxa" w:w="2232"/>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17 rotations</w:t>
            </w:r>
          </w:p>
        </w:tc>
        <w:tc>
          <w:tcPr>
            <w:tcW w:type="dxa" w:w="3528"/>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Required = ceiling(buddy-board count / 25); each was one guard short.</w:t>
            </w:r>
          </w:p>
        </w:tc>
      </w:tr>
      <w:tr>
        <w:trPr>
          <w:cantSplit/>
          <w:cantSplit/>
          <w:cantSplit/>
        </w:trPr>
        <w:tc>
          <w:tcPr>
            <w:tcW w:type="dxa" w:w="2376"/>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Roster vs buddy-board mismatch</w:t>
            </w:r>
          </w:p>
        </w:tc>
        <w:tc>
          <w:tcPr>
            <w:tcW w:type="dxa" w:w="2016"/>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129 rotations</w:t>
            </w:r>
          </w:p>
        </w:tc>
        <w:tc>
          <w:tcPr>
            <w:tcW w:type="dxa" w:w="2232"/>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676 of 846 rotations</w:t>
            </w:r>
          </w:p>
        </w:tc>
        <w:tc>
          <w:tcPr>
            <w:tcW w:type="dxa" w:w="3528"/>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17 crossed a staffing threshold; 659 were reconciliation defects only.</w:t>
            </w:r>
          </w:p>
        </w:tc>
      </w:tr>
      <w:tr>
        <w:trPr>
          <w:cantSplit/>
          <w:cantSplit/>
          <w:cantSplit/>
        </w:trPr>
        <w:tc>
          <w:tcPr>
            <w:tcW w:type="dxa" w:w="2376"/>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Scheduled days with no water/ratio record</w:t>
            </w:r>
          </w:p>
        </w:tc>
        <w:tc>
          <w:tcPr>
            <w:tcW w:type="dxa" w:w="2016"/>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1 day: June 28</w:t>
            </w:r>
          </w:p>
        </w:tc>
        <w:tc>
          <w:tcPr>
            <w:tcW w:type="dxa" w:w="2232"/>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11 days</w:t>
            </w:r>
          </w:p>
        </w:tc>
        <w:tc>
          <w:tcPr>
            <w:tcW w:type="dxa" w:w="3528"/>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3 water tests + 18 rotation records missing per residential day.</w:t>
            </w:r>
          </w:p>
        </w:tc>
      </w:tr>
      <w:tr>
        <w:trPr>
          <w:cantSplit/>
          <w:cantSplit/>
          <w:cantSplit/>
        </w:trPr>
        <w:tc>
          <w:tcPr>
            <w:tcW w:type="dxa" w:w="2376"/>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Incident follow-up blank</w:t>
            </w:r>
          </w:p>
        </w:tc>
        <w:tc>
          <w:tcPr>
            <w:tcW w:type="dxa" w:w="2016"/>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7 of 19 incidents</w:t>
            </w:r>
          </w:p>
        </w:tc>
        <w:tc>
          <w:tcPr>
            <w:tcW w:type="dxa" w:w="2232"/>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52 of 104 incidents</w:t>
            </w:r>
          </w:p>
        </w:tc>
        <w:tc>
          <w:tcPr>
            <w:tcW w:type="dxa" w:w="3528"/>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Same-day record requires response, notifications and follow-up.</w:t>
            </w:r>
          </w:p>
        </w:tc>
      </w:tr>
      <w:tr>
        <w:trPr>
          <w:cantSplit/>
          <w:cantSplit/>
          <w:cantSplit/>
        </w:trPr>
        <w:tc>
          <w:tcPr>
            <w:tcW w:type="dxa" w:w="2376"/>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Rescue equipment inconsistency</w:t>
            </w:r>
          </w:p>
        </w:tc>
        <w:tc>
          <w:tcPr>
            <w:tcW w:type="dxa" w:w="2016"/>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1 record</w:t>
            </w:r>
          </w:p>
        </w:tc>
        <w:tc>
          <w:tcPr>
            <w:tcW w:type="dxa" w:w="2232"/>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4 records</w:t>
            </w:r>
          </w:p>
        </w:tc>
        <w:tc>
          <w:tcPr>
            <w:tcW w:type="dxa" w:w="3528"/>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Narrative says tube assist but equipment field says none or ice pack.</w:t>
            </w:r>
          </w:p>
        </w:tc>
      </w:tr>
    </w:tbl>
    <w:p>
      <w:pPr>
        <w:spacing w:after="0"/>
        <w:widowControl/>
      </w:pPr>
    </w:p>
    <w:p>
      <w:pPr>
        <w:spacing w:before="0" w:after="80" w:line="254" w:lineRule="auto"/>
        <w:widowControl/>
      </w:pPr>
      <w:r>
        <w:rPr>
          <w:rFonts w:ascii="Liberation Sans" w:hAnsi="Liberation Sans" w:eastAsia="Liberation Sans"/>
          <w:b/>
          <w:i w:val="0"/>
        </w:rPr>
        <w:t xml:space="preserve">Water quality. </w:t>
      </w:r>
      <w:r>
        <w:rPr>
          <w:rFonts w:ascii="Liberation Sans" w:hAnsi="Liberation Sans" w:eastAsia="Liberation Sans"/>
          <w:b w:val="0"/>
          <w:i w:val="0"/>
        </w:rPr>
        <w:t xml:space="preserve">Cyanuric acid is present in every row, so the stabilized 2.0-4.0 ppm free-chlorine range governs. The log records 62 low readings: 13 before camper sessions and 49 during June 22-August 20. Of all 62, 46 have no corrective action and 16 promise a 30-minute re-test without a corresponding re-test entry. The log does not prove area closure, so the defensible finding is failure to document correction/closure; it is not a claim that swimmers necessarily entered during every low reading. Eleven scheduled dates lack logs, yielding 11 x 3 = 33 missing water tests. </w:t>
      </w:r>
      <w:r>
        <w:rPr>
          <w:rFonts w:ascii="Liberation Sans" w:hAnsi="Liberation Sans" w:eastAsia="Liberation Sans"/>
          <w:b w:val="0"/>
          <w:i w:val="0"/>
          <w:color w:val="536474"/>
          <w:sz w:val="14"/>
        </w:rPr>
        <w:t>[S6, section 4; S7, Season Log rows 7-183; S14, rows 6-8]</w:t>
      </w:r>
    </w:p>
    <w:p>
      <w:pPr>
        <w:spacing w:before="0" w:after="80" w:line="254" w:lineRule="auto"/>
        <w:widowControl/>
      </w:pPr>
      <w:r>
        <w:rPr>
          <w:rFonts w:ascii="Liberation Sans" w:hAnsi="Liberation Sans" w:eastAsia="Liberation Sans"/>
          <w:b/>
          <w:i w:val="0"/>
        </w:rPr>
        <w:t xml:space="preserve">Ratios. </w:t>
      </w:r>
      <w:r>
        <w:rPr>
          <w:rFonts w:ascii="Liberation Sans" w:hAnsi="Liberation Sans" w:eastAsia="Liberation Sans"/>
          <w:b w:val="0"/>
          <w:i w:val="0"/>
        </w:rPr>
        <w:t xml:space="preserve">The buddy board is authoritative. Recalculation uses ceiling(board count / 25), not the lower recorded swimmer count. Seventeen rows were one guard short: 6/23 R4 Area A; 6/24 R2 Area C; 6/30 R3 Area B and R4 Area C; 7/4 R5 Area C; 7/11 R6 Area A; 7/20 R6 Area C; 7/25 R1 Area C and R6 Area A; 7/28 R5 Area A; 7/29 R5 Area C; 7/30 R4 Area A; 7/31 R4 and R6 Area C; 8/6 R5 Area B; 8/12 R5 Area C; and 8/14 R6 Area B. The 47 logged dates x 18 rotations = 846 records; 676 mismatches equal 79.9%. Missing dates imply 11 x 18 = 198 absent rotation records. </w:t>
      </w:r>
      <w:r>
        <w:rPr>
          <w:rFonts w:ascii="Liberation Sans" w:hAnsi="Liberation Sans" w:eastAsia="Liberation Sans"/>
          <w:b w:val="0"/>
          <w:i w:val="0"/>
          <w:color w:val="536474"/>
          <w:sz w:val="14"/>
        </w:rPr>
        <w:t>[S6, sections 2 and 13; S8, Rotation Schedule rows 34, 48, 140, 144, 219, 328, 456, 531, 544, 577, 597, 610, 630, 636, 722, 813 and 851; S14]</w:t>
      </w:r>
    </w:p>
    <w:p>
      <w:pPr>
        <w:spacing w:before="0" w:after="80" w:line="254" w:lineRule="auto"/>
        <w:widowControl/>
      </w:pPr>
      <w:r>
        <w:rPr>
          <w:rFonts w:ascii="Liberation Sans" w:hAnsi="Liberation Sans" w:eastAsia="Liberation Sans"/>
          <w:b/>
          <w:i w:val="0"/>
        </w:rPr>
        <w:t xml:space="preserve">Incidents. </w:t>
      </w:r>
      <w:r>
        <w:rPr>
          <w:rFonts w:ascii="Liberation Sans" w:hAnsi="Liberation Sans" w:eastAsia="Liberation Sans"/>
          <w:b w:val="0"/>
          <w:i w:val="0"/>
        </w:rPr>
        <w:t xml:space="preserve">The log records 104 incidents, all marked non-state-reportable: 97 first-aid cases, five tired-swimmer assists and two resolved buddy-board searches. The archive supplies no statutory reporting threshold, so zero can be reported as the log's classification but an independent legal reclassification is not supported. The reportable violations are recordkeeping: 52 blank follow-up fields and four equipment-field contradictions. Thirteen incidents occurred on dates lacking water/ratio logs, including three on June 28. </w:t>
      </w:r>
      <w:r>
        <w:rPr>
          <w:rFonts w:ascii="Liberation Sans" w:hAnsi="Liberation Sans" w:eastAsia="Liberation Sans"/>
          <w:b w:val="0"/>
          <w:i w:val="0"/>
          <w:color w:val="536474"/>
          <w:sz w:val="14"/>
        </w:rPr>
        <w:t>[S6, section 6; S9, Incident and First Aid Log rows 7-110]</w:t>
      </w:r>
    </w:p>
    <w:p>
      <w:pPr>
        <w:pStyle w:val="Heading1"/>
        <w:keepNext/>
        <w:widowControl/>
      </w:pPr>
      <w:r>
        <w:rPr>
          <w:rFonts w:ascii="Liberation Sans" w:hAnsi="Liberation Sans" w:eastAsia="Liberation Sans"/>
          <w:b/>
          <w:i w:val="0"/>
          <w:color w:val="0B6B6B"/>
        </w:rPr>
        <w:t>Assessment Staffing Through August 20</w:t>
      </w:r>
    </w:p>
    <w:p>
      <w:pPr>
        <w:spacing w:before="0" w:after="80" w:line="254" w:lineRule="auto"/>
        <w:widowControl/>
      </w:pPr>
      <w:r>
        <w:rPr>
          <w:rFonts w:ascii="Liberation Sans" w:hAnsi="Liberation Sans" w:eastAsia="Liberation Sans"/>
          <w:b/>
          <w:i w:val="0"/>
        </w:rPr>
        <w:t xml:space="preserve">Credential-current pool: 33 unique people. </w:t>
      </w:r>
      <w:r>
        <w:rPr>
          <w:rFonts w:ascii="Liberation Sans" w:hAnsi="Liberation Sans" w:eastAsia="Liberation Sans"/>
          <w:b w:val="0"/>
          <w:i w:val="0"/>
        </w:rPr>
        <w:t xml:space="preserve">The Corrigwell certification file contains 14 current WSI records, 2 current LGI records and 25 current LG-WF records covering July 1-August 20. Deduplicating names gives 14 + 2 + 25 - 2(WSI/LGI) - 6(WSI/LG-WF) - 2(LGI/LG-WF) + 2(all three) = 33. No qualifying credential expires during the period. </w:t>
      </w:r>
      <w:r>
        <w:rPr>
          <w:rFonts w:ascii="Liberation Sans" w:hAnsi="Liberation Sans" w:eastAsia="Liberation Sans"/>
          <w:b w:val="0"/>
          <w:i w:val="0"/>
          <w:color w:val="536474"/>
          <w:sz w:val="14"/>
        </w:rPr>
        <w:t>[S1, rows 10-12; S25, Certification Records rows 7-113; S26, Expiry Tracker]</w:t>
      </w:r>
    </w:p>
    <w:p>
      <w:pPr>
        <w:spacing w:before="0" w:after="80" w:line="254" w:lineRule="auto"/>
        <w:widowControl/>
      </w:pPr>
      <w:r>
        <w:rPr>
          <w:rFonts w:ascii="Liberation Sans" w:hAnsi="Liberation Sans" w:eastAsia="Liberation Sans"/>
          <w:b/>
          <w:i w:val="0"/>
          <w:color w:val="A33A2B"/>
        </w:rPr>
        <w:t xml:space="preserve">Fully documented authorized-and-available count: 0. </w:t>
      </w:r>
      <w:r>
        <w:rPr>
          <w:rFonts w:ascii="Liberation Sans" w:hAnsi="Liberation Sans" w:eastAsia="Liberation Sans"/>
          <w:b w:val="0"/>
          <w:i w:val="0"/>
        </w:rPr>
        <w:t xml:space="preserve">The matrix requires Form ASC-2 for each qualifying track, but no ASC-2 evidence is present in the supplied certification, expiry or recertification files. Only Carmen P. Yee can be matched between the credential census and a current Corrigwell leadership/assessment record; the five other abbreviated assessor labels cannot be joined reliably to a full-name credential record. A 33-person credential census is therefore not proof of assignment or availability. </w:t>
      </w:r>
      <w:r>
        <w:rPr>
          <w:rFonts w:ascii="Liberation Sans" w:hAnsi="Liberation Sans" w:eastAsia="Liberation Sans"/>
          <w:b w:val="0"/>
          <w:i w:val="0"/>
          <w:color w:val="536474"/>
          <w:sz w:val="14"/>
        </w:rPr>
        <w:t>[S1, notes rows 10-12; S5, section 11; S25-S27; S28, slide 1; S4, Assessor column]</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cantSplit/>
          <w:cantSplit/>
        </w:trPr>
        <w:tc>
          <w:tcPr>
            <w:tcW w:type="dxa" w:w="3024"/>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CURRENT TRACK(S), JULY 1-AUGUST 20</w:t>
            </w:r>
          </w:p>
        </w:tc>
        <w:tc>
          <w:tcPr>
            <w:tcW w:type="dxa" w:w="7128"/>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UNIQUE PEOPLE</w:t>
            </w:r>
          </w:p>
        </w:tc>
      </w:tr>
      <w:tr>
        <w:trPr>
          <w:cantSplit/>
          <w:cantSplit/>
          <w:cantSplit/>
        </w:trPr>
        <w:tc>
          <w:tcPr>
            <w:tcW w:type="dxa" w:w="3024"/>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Triple: WSI + LGI + LG-WF</w:t>
            </w:r>
          </w:p>
        </w:tc>
        <w:tc>
          <w:tcPr>
            <w:tcW w:type="dxa" w:w="7128"/>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Carmen P. Yee; Morgan Black</w:t>
            </w:r>
          </w:p>
        </w:tc>
      </w:tr>
      <w:tr>
        <w:trPr>
          <w:cantSplit/>
          <w:cantSplit/>
          <w:cantSplit/>
        </w:trPr>
        <w:tc>
          <w:tcPr>
            <w:tcW w:type="dxa" w:w="3024"/>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WSI + LG-WF</w:t>
            </w:r>
          </w:p>
        </w:tc>
        <w:tc>
          <w:tcPr>
            <w:tcW w:type="dxa" w:w="7128"/>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Adrienne Spears; Andrea Miles; Brenda Green; Janet Knight</w:t>
            </w:r>
          </w:p>
        </w:tc>
      </w:tr>
      <w:tr>
        <w:trPr>
          <w:cantSplit/>
          <w:cantSplit/>
          <w:cantSplit/>
        </w:trPr>
        <w:tc>
          <w:tcPr>
            <w:tcW w:type="dxa" w:w="3024"/>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WSI only</w:t>
            </w:r>
          </w:p>
        </w:tc>
        <w:tc>
          <w:tcPr>
            <w:tcW w:type="dxa" w:w="7128"/>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4"/>
              </w:rPr>
              <w:t>Brandon Kaufman; Christina Goodwin; Claudia West; Jill Robertson; Martha Miller; Paul Horne; Rachel Diaz; Scott Hendricks</w:t>
            </w:r>
          </w:p>
        </w:tc>
      </w:tr>
      <w:tr>
        <w:trPr>
          <w:cantSplit/>
          <w:cantSplit/>
          <w:cantSplit/>
        </w:trPr>
        <w:tc>
          <w:tcPr>
            <w:tcW w:type="dxa" w:w="3024"/>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LG-WF only</w:t>
            </w:r>
          </w:p>
        </w:tc>
        <w:tc>
          <w:tcPr>
            <w:tcW w:type="dxa" w:w="7128"/>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4"/>
              </w:rPr>
              <w:t>Anthony Cole; Barbara Mitchell; Belinda Estrada; Brian Fitzgerald; Christine Patel; Dawn Gonzales; Dr. Jerome Collins; Elizabeth Butler; Felicia Daniels; John Burch; Jordan Ray; Kendra Ruiz; Leah Harding; Lucas Willis; Shannon Farrell; Shawn Ferguson; Steven Perry; Vickie Patel; William Gray</w:t>
            </w:r>
          </w:p>
        </w:tc>
      </w:tr>
    </w:tbl>
    <w:p>
      <w:pPr>
        <w:spacing w:after="0"/>
        <w:widowControl/>
      </w:pPr>
    </w:p>
    <w:p>
      <w:pPr>
        <w:spacing w:before="0" w:after="40" w:line="254" w:lineRule="auto"/>
        <w:widowControl/>
      </w:pPr>
      <w:r>
        <w:rPr>
          <w:rFonts w:ascii="Liberation Sans" w:hAnsi="Liberation Sans" w:eastAsia="Liberation Sans"/>
          <w:b w:val="0"/>
          <w:i w:val="0"/>
          <w:color w:val="536474"/>
          <w:sz w:val="14"/>
        </w:rPr>
        <w:t>Source: [S25, Certification Records]. Names are deduplicated by full name because one person may have multiple staff IDs/credential rows. This is a credential census, not a staffing assignment list.</w:t>
      </w:r>
    </w:p>
    <w:p>
      <w:pPr>
        <w:pStyle w:val="Heading1"/>
        <w:keepNext/>
        <w:widowControl/>
      </w:pPr>
      <w:r>
        <w:rPr>
          <w:rFonts w:ascii="Liberation Sans" w:hAnsi="Liberation Sans" w:eastAsia="Liberation Sans"/>
          <w:b/>
          <w:i w:val="0"/>
          <w:color w:val="0B6B6B"/>
        </w:rPr>
        <w:t>Deadline Reconciliation And Feasibility</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cantSplit/>
          <w:cantSplit/>
          <w:cantSplit/>
        </w:trPr>
        <w:tc>
          <w:tcPr>
            <w:tcW w:type="dxa" w:w="1656"/>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MILESTONE</w:t>
            </w:r>
          </w:p>
        </w:tc>
        <w:tc>
          <w:tcPr>
            <w:tcW w:type="dxa" w:w="1008"/>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DATE</w:t>
            </w:r>
          </w:p>
        </w:tc>
        <w:tc>
          <w:tcPr>
            <w:tcW w:type="dxa" w:w="1944"/>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ARITHMETIC / AUTHORITY</w:t>
            </w:r>
          </w:p>
        </w:tc>
        <w:tc>
          <w:tcPr>
            <w:tcW w:type="dxa" w:w="1512"/>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RELATIVE TO JULY 1</w:t>
            </w:r>
          </w:p>
        </w:tc>
        <w:tc>
          <w:tcPr>
            <w:tcW w:type="dxa" w:w="2160"/>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OWNER</w:t>
            </w:r>
          </w:p>
        </w:tc>
        <w:tc>
          <w:tcPr>
            <w:tcW w:type="dxa" w:w="2376"/>
            <w:shd w:fill="17324D"/>
            <w:tcMar>
              <w:top w:w="75" w:type="dxa"/>
              <w:start w:w="90" w:type="dxa"/>
              <w:bottom w:w="75" w:type="dxa"/>
              <w:end w:w="90" w:type="dxa"/>
            </w:tcMar>
            <w:vAlign w:val="center"/>
          </w:tcPr>
          <w:p>
            <w:pPr>
              <w:spacing w:after="0"/>
              <w:widowControl/>
            </w:pPr>
            <w:r>
              <w:rPr>
                <w:rFonts w:ascii="Liberation Sans" w:hAnsi="Liberation Sans" w:eastAsia="Liberation Sans"/>
                <w:b/>
                <w:i w:val="0"/>
                <w:color w:val="FFFFFF"/>
                <w:sz w:val="14"/>
              </w:rPr>
              <w:t>CONCLUSION</w:t>
            </w:r>
          </w:p>
        </w:tc>
      </w:tr>
      <w:tr>
        <w:trPr>
          <w:cantSplit/>
          <w:cantSplit/>
          <w:cantSplit/>
        </w:trPr>
        <w:tc>
          <w:tcPr>
            <w:tcW w:type="dxa" w:w="1656"/>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Underwriting: Great Pines Mutual</w:t>
            </w:r>
          </w:p>
        </w:tc>
        <w:tc>
          <w:tcPr>
            <w:tcW w:type="dxa" w:w="1008"/>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July 2</w:t>
            </w:r>
          </w:p>
        </w:tc>
        <w:tc>
          <w:tcPr>
            <w:tcW w:type="dxa" w:w="1944"/>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Aug. 1 - 30 calendar days = July 2</w:t>
            </w:r>
          </w:p>
        </w:tc>
        <w:tc>
          <w:tcPr>
            <w:tcW w:type="dxa" w:w="1512"/>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Tomorrow; 49 days before close</w:t>
            </w:r>
          </w:p>
        </w:tc>
        <w:tc>
          <w:tcPr>
            <w:tcW w:type="dxa" w:w="216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Priya Natarajan calendar; C. Alan Whitmore external</w:t>
            </w:r>
          </w:p>
        </w:tc>
        <w:tc>
          <w:tcPr>
            <w:tcW w:type="dxa" w:w="2376"/>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Full re-test not a stated prerequisite; complete submission receipt not proved.</w:t>
            </w:r>
          </w:p>
        </w:tc>
      </w:tr>
      <w:tr>
        <w:trPr>
          <w:cantSplit/>
          <w:cantSplit/>
          <w:cantSplit/>
        </w:trPr>
        <w:tc>
          <w:tcPr>
            <w:tcW w:type="dxa" w:w="1656"/>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License renewal</w:t>
            </w:r>
          </w:p>
        </w:tc>
        <w:tc>
          <w:tcPr>
            <w:tcW w:type="dxa" w:w="1008"/>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July 15</w:t>
            </w:r>
          </w:p>
        </w:tc>
        <w:tc>
          <w:tcPr>
            <w:tcW w:type="dxa" w:w="1944"/>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Fixed Bureau date</w:t>
            </w:r>
          </w:p>
        </w:tc>
        <w:tc>
          <w:tcPr>
            <w:tcW w:type="dxa" w:w="1512"/>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14 days away; 36 days before close</w:t>
            </w:r>
          </w:p>
        </w:tc>
        <w:tc>
          <w:tcPr>
            <w:tcW w:type="dxa" w:w="2160"/>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Lindsay Booker calendar; Priya Natarajan filing; Harold Brennan applicant</w:t>
            </w:r>
          </w:p>
        </w:tc>
        <w:tc>
          <w:tcPr>
            <w:tcW w:type="dxa" w:w="2376"/>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May state CAP is in progress; later received July 14.</w:t>
            </w:r>
          </w:p>
        </w:tc>
      </w:tr>
      <w:tr>
        <w:trPr>
          <w:cantSplit/>
          <w:cantSplit/>
          <w:cantSplit/>
        </w:trPr>
        <w:tc>
          <w:tcPr>
            <w:tcW w:type="dxa" w:w="1656"/>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CAP response / implementation</w:t>
            </w:r>
          </w:p>
        </w:tc>
        <w:tc>
          <w:tcPr>
            <w:tcW w:type="dxa" w:w="1008"/>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July 30</w:t>
            </w:r>
          </w:p>
        </w:tc>
        <w:tc>
          <w:tcPr>
            <w:tcW w:type="dxa" w:w="1944"/>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June 15 + 45 calendar days = July 30</w:t>
            </w:r>
          </w:p>
        </w:tc>
        <w:tc>
          <w:tcPr>
            <w:tcW w:type="dxa" w:w="1512"/>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29 days away; 21 days before close</w:t>
            </w:r>
          </w:p>
        </w:tc>
        <w:tc>
          <w:tcPr>
            <w:tcW w:type="dxa" w:w="2160"/>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Raquel Delgado calendar; Priya Natarajan plan/filing; Carmen Yee + Delgado re-tests</w:t>
            </w:r>
          </w:p>
        </w:tc>
        <w:tc>
          <w:tcPr>
            <w:tcW w:type="dxa" w:w="2376"/>
            <w:tcMar>
              <w:top w:w="75" w:type="dxa"/>
              <w:start w:w="90" w:type="dxa"/>
              <w:bottom w:w="75" w:type="dxa"/>
              <w:end w:w="90" w:type="dxa"/>
            </w:tcMar>
            <w:vAlign w:val="top"/>
          </w:tcPr>
          <w:p>
            <w:pPr>
              <w:spacing w:after="0" w:line="240" w:lineRule="auto"/>
              <w:widowControl/>
            </w:pPr>
            <w:r>
              <w:rPr>
                <w:rFonts w:ascii="Liberation Sans" w:hAnsi="Liberation Sans" w:eastAsia="Liberation Sans"/>
                <w:b w:val="0"/>
                <w:i w:val="0"/>
                <w:sz w:val="13"/>
              </w:rPr>
              <w:t>Full scope not shown complete; later 84% report confirms July miss.</w:t>
            </w:r>
          </w:p>
        </w:tc>
      </w:tr>
      <w:tr>
        <w:trPr>
          <w:cantSplit/>
          <w:cantSplit/>
          <w:cantSplit/>
        </w:trPr>
        <w:tc>
          <w:tcPr>
            <w:tcW w:type="dxa" w:w="1656"/>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Season close</w:t>
            </w:r>
          </w:p>
        </w:tc>
        <w:tc>
          <w:tcPr>
            <w:tcW w:type="dxa" w:w="1008"/>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Aug. 20</w:t>
            </w:r>
          </w:p>
        </w:tc>
        <w:tc>
          <w:tcPr>
            <w:tcW w:type="dxa" w:w="1944"/>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Fixed operations date</w:t>
            </w:r>
          </w:p>
        </w:tc>
        <w:tc>
          <w:tcPr>
            <w:tcW w:type="dxa" w:w="1512"/>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50 days after July 1</w:t>
            </w:r>
          </w:p>
        </w:tc>
        <w:tc>
          <w:tcPr>
            <w:tcW w:type="dxa" w:w="2160"/>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Corrigwell operations / aquatics leadership</w:t>
            </w:r>
          </w:p>
        </w:tc>
        <w:tc>
          <w:tcPr>
            <w:tcW w:type="dxa" w:w="2376"/>
            <w:tcMar>
              <w:top w:w="75" w:type="dxa"/>
              <w:start w:w="90" w:type="dxa"/>
              <w:bottom w:w="75" w:type="dxa"/>
              <w:end w:w="90" w:type="dxa"/>
            </w:tcMar>
            <w:vAlign w:val="top"/>
            <w:shd w:fill="F5F8FA"/>
          </w:tcPr>
          <w:p>
            <w:pPr>
              <w:spacing w:after="0" w:line="240" w:lineRule="auto"/>
              <w:widowControl/>
            </w:pPr>
            <w:r>
              <w:rPr>
                <w:rFonts w:ascii="Liberation Sans" w:hAnsi="Liberation Sans" w:eastAsia="Liberation Sans"/>
                <w:b w:val="0"/>
                <w:i w:val="0"/>
                <w:sz w:val="13"/>
              </w:rPr>
              <w:t>Completion forecast exists; closure roster and Bureau closure absent.</w:t>
            </w:r>
          </w:p>
        </w:tc>
      </w:tr>
    </w:tbl>
    <w:p>
      <w:pPr>
        <w:spacing w:after="0"/>
        <w:widowControl/>
      </w:pPr>
    </w:p>
    <w:p>
      <w:pPr>
        <w:spacing w:before="0" w:after="80" w:line="254" w:lineRule="auto"/>
        <w:widowControl/>
      </w:pPr>
      <w:r>
        <w:rPr>
          <w:rFonts w:ascii="Liberation Sans" w:hAnsi="Liberation Sans" w:eastAsia="Liberation Sans"/>
          <w:b/>
          <w:i w:val="0"/>
        </w:rPr>
        <w:t xml:space="preserve">July 14 does not reset the CAP clock. </w:t>
      </w:r>
      <w:r>
        <w:rPr>
          <w:rFonts w:ascii="Liberation Sans" w:hAnsi="Liberation Sans" w:eastAsia="Liberation Sans"/>
          <w:b w:val="0"/>
          <w:i w:val="0"/>
        </w:rPr>
        <w:t xml:space="preserve">The license application was later stamped received July 14, one day before its fixed due date. It accurately described the CAP as in progress and due July 30. The CAP deadline derives from the June 15 finding, so July 14 to July 30 is merely 16 elapsed days, not a new response window. </w:t>
      </w:r>
      <w:r>
        <w:rPr>
          <w:rFonts w:ascii="Liberation Sans" w:hAnsi="Liberation Sans" w:eastAsia="Liberation Sans"/>
          <w:b w:val="0"/>
          <w:i w:val="0"/>
          <w:color w:val="536474"/>
          <w:sz w:val="14"/>
        </w:rPr>
        <w:t>[S13, page 1; S16, Sections B-C]</w:t>
      </w:r>
    </w:p>
    <w:p>
      <w:pPr>
        <w:spacing w:before="0" w:after="80" w:line="254" w:lineRule="auto"/>
        <w:widowControl/>
      </w:pPr>
      <w:r>
        <w:rPr>
          <w:rFonts w:ascii="Liberation Sans" w:hAnsi="Liberation Sans" w:eastAsia="Liberation Sans"/>
          <w:b/>
          <w:i w:val="0"/>
        </w:rPr>
        <w:t xml:space="preserve">Capacity test. </w:t>
      </w:r>
      <w:r>
        <w:rPr>
          <w:rFonts w:ascii="Liberation Sans" w:hAnsi="Liberation Sans" w:eastAsia="Liberation Sans"/>
          <w:b w:val="0"/>
          <w:i w:val="0"/>
        </w:rPr>
        <w:t xml:space="preserve">Protected Monday/Wednesday mornings after July 1 yield 0 future blocks by July 2, 4 by July 15, 8 by July 30 and 14 by August 20. On the 800-record basis, that is 800 / 4 = 200, 800 / 8 = 100, and 800 / 14 = 57.1 (at least 58) assessments per block. On the July 1 immediate cohort, only July 6 and 8 occur before Session 1 departs July 11, requiring 280 / 2 = 140 assessments per block. No source states block length, tests per assessor-hour, or confirms any ASC-2-cleared assigned assessor; feasibility therefore cannot be certified. </w:t>
      </w:r>
      <w:r>
        <w:rPr>
          <w:rFonts w:ascii="Liberation Sans" w:hAnsi="Liberation Sans" w:eastAsia="Liberation Sans"/>
          <w:b w:val="0"/>
          <w:i w:val="0"/>
          <w:color w:val="536474"/>
          <w:sz w:val="14"/>
        </w:rPr>
        <w:t>[S11, paragraph 12; S12, lines 20-21; S14, rows 6-8]</w:t>
      </w:r>
    </w:p>
    <w:p>
      <w:pPr>
        <w:spacing w:before="0" w:after="80" w:line="254" w:lineRule="auto"/>
        <w:widowControl/>
      </w:pPr>
      <w:r>
        <w:rPr>
          <w:rFonts w:ascii="Liberation Sans" w:hAnsi="Liberation Sans" w:eastAsia="Liberation Sans"/>
          <w:b/>
          <w:i w:val="0"/>
        </w:rPr>
        <w:t xml:space="preserve">Later outcome evidence. </w:t>
      </w:r>
      <w:r>
        <w:rPr>
          <w:rFonts w:ascii="Liberation Sans" w:hAnsi="Liberation Sans" w:eastAsia="Liberation Sans"/>
          <w:b w:val="0"/>
          <w:i w:val="0"/>
        </w:rPr>
        <w:t xml:space="preserve">The August 10 aquatics minutes report re-assessment only 84% complete. Because the minutes do not state the denominator and the percentage may be rounded, 800 x 84% = 672 is illustrative, not an auditable completed count. It does prove the work was incomplete after every July deadline. No final signed re-assessment roster or Bureau closure notice appears in the archive, so completion by August 20 is not supported. </w:t>
      </w:r>
      <w:r>
        <w:rPr>
          <w:rFonts w:ascii="Liberation Sans" w:hAnsi="Liberation Sans" w:eastAsia="Liberation Sans"/>
          <w:b w:val="0"/>
          <w:i w:val="0"/>
          <w:color w:val="536474"/>
          <w:sz w:val="14"/>
        </w:rPr>
        <w:t>[S29, August 10 entry; S15, section 7]</w:t>
      </w:r>
    </w:p>
    <w:tbl>
      <w:tblPr>
        <w:tblW w:type="auto" w:w="0"/>
        <w:jc w:val="center"/>
        <w:tblLayout w:type="fixed"/>
        <w:tblLook w:firstColumn="1" w:firstRow="1" w:lastColumn="0" w:lastRow="0" w:noHBand="0" w:noVBand="1" w:val="04A0"/>
      </w:tblPr>
      <w:tblGrid>
        <w:gridCol w:w="5184"/>
        <w:gridCol w:w="5184"/>
      </w:tblGrid>
      <w:tr>
        <w:trPr>
          <w:cantSplit/>
          <w:cantSplit/>
        </w:trPr>
        <w:tc>
          <w:tcPr>
            <w:tcW w:type="dxa" w:w="10138"/>
            <w:gridSpan w:val="2"/>
            <w:shd w:fill="FFF4DA"/>
            <w:tcMar>
              <w:top w:w="105" w:type="dxa"/>
              <w:start w:w="150" w:type="dxa"/>
              <w:bottom w:w="100" w:type="dxa"/>
              <w:end w:w="150" w:type="dxa"/>
            </w:tcMar>
            <w:vAlign w:val="center"/>
            <w:tcBorders>
              <w:left w:val="single" w:sz="32" w:color="A36300"/>
            </w:tcBorders>
          </w:tcPr>
          <w:p>
            <w:pPr>
              <w:spacing w:after="40"/>
            </w:pPr>
            <w:r>
              <w:rPr>
                <w:rFonts w:ascii="Liberation Sans" w:hAnsi="Liberation Sans" w:eastAsia="Liberation Sans"/>
              </w:rPr>
            </w:r>
            <w:r>
              <w:rPr>
                <w:rFonts w:ascii="Liberation Sans" w:hAnsi="Liberation Sans" w:eastAsia="Liberation Sans"/>
                <w:b/>
                <w:color w:val="A36300"/>
                <w:sz w:val="16"/>
              </w:rPr>
              <w:t>REQUIRED DISPOSITION</w:t>
            </w:r>
          </w:p>
          <w:p>
            <w:pPr>
              <w:spacing w:after="0" w:line="250" w:lineRule="auto"/>
            </w:pPr>
            <w:r>
              <w:rPr>
                <w:rFonts w:ascii="Liberation Sans" w:hAnsi="Liberation Sans" w:eastAsia="Liberation Sans"/>
                <w:b w:val="0"/>
                <w:sz w:val="17"/>
              </w:rPr>
              <w:t>File Corrigwell as the Bureau-reportable unauthorized-signoff and operating-exception site. Keep the four never-examined sites in a separate deferred register and do not label them cleared or noncompliant. Preserve Loon Hollow's narrow credential clearance while correcting its session-close signature timing. Before representing re-test completion, obtain an identity-valid roster signed by a named current WSI, LGI or LG-WF assessor with Form ASC-2 and obtain Bureau closure.</w:t>
            </w:r>
          </w:p>
        </w:tc>
      </w:tr>
    </w:tbl>
    <w:p>
      <w:pPr>
        <w:spacing w:after="0"/>
        <w:widowControl/>
      </w:pPr>
    </w:p>
    <w:p>
      <w:pPr>
        <w:pStyle w:val="Heading1"/>
        <w:keepNext/>
        <w:pageBreakBefore/>
      </w:pPr>
      <w:r>
        <w:rPr>
          <w:rFonts w:ascii="Liberation Sans" w:hAnsi="Liberation Sans" w:eastAsia="Liberation Sans"/>
          <w:b/>
          <w:color w:val="0B6B6B"/>
          <w:sz w:val="25"/>
        </w:rPr>
        <w:t>Source Register</w:t>
      </w:r>
    </w:p>
    <w:tbl>
      <w:tblPr>
        <w:tblW w:type="auto" w:w="0"/>
        <w:jc w:val="center"/>
        <w:tblLayout w:type="fixed"/>
        <w:tblLook w:firstColumn="1" w:firstRow="1" w:lastColumn="0" w:lastRow="0" w:noHBand="0" w:noVBand="1" w:val="04A0"/>
      </w:tblPr>
      <w:tblGrid>
        <w:gridCol w:w="5069"/>
        <w:gridCol w:w="5069"/>
      </w:tblGrid>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S1  </w:t>
            </w:r>
            <w:r>
              <w:rPr>
                <w:rFonts w:ascii="Liberation Sans" w:hAnsi="Liberation Sans" w:eastAsia="Liberation Sans"/>
                <w:b w:val="0"/>
                <w:sz w:val="14"/>
              </w:rPr>
              <w:t>Credential Records/Credential-Track Authorization Matrix.xlsx - Authorization Matrix rows 2, 5 and 10-13.</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S16  </w:t>
            </w:r>
            <w:r>
              <w:rPr>
                <w:rFonts w:ascii="Liberation Sans" w:hAnsi="Liberation Sans" w:eastAsia="Liberation Sans"/>
                <w:b w:val="0"/>
                <w:sz w:val="14"/>
              </w:rPr>
              <w:t>State Licensing/Youth Camp License Renewal Application 2026.pdf - Sections A-C; received stamp July 14, 2026.</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S2  </w:t>
            </w:r>
            <w:r>
              <w:rPr>
                <w:rFonts w:ascii="Liberation Sans" w:hAnsi="Liberation Sans" w:eastAsia="Liberation Sans"/>
                <w:b w:val="0"/>
                <w:sz w:val="14"/>
              </w:rPr>
              <w:t>Corporate Risk and Compliance/Swim Classification and Authorization Standard.docx - introduction; sections 2, 3, 5, 9 and 10.</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S17  </w:t>
            </w:r>
            <w:r>
              <w:rPr>
                <w:rFonts w:ascii="Liberation Sans" w:hAnsi="Liberation Sans" w:eastAsia="Liberation Sans"/>
                <w:b w:val="0"/>
                <w:sz w:val="14"/>
              </w:rPr>
              <w:t>Corporate Risk and Compliance/Six-Site Credential Sweep Report 2026.docx - August 7, 2026, sections 1-7 and Table 2; later outcome evidence.</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S3  </w:t>
            </w:r>
            <w:r>
              <w:rPr>
                <w:rFonts w:ascii="Liberation Sans" w:hAnsi="Liberation Sans" w:eastAsia="Liberation Sans"/>
                <w:b w:val="0"/>
                <w:sz w:val="14"/>
              </w:rPr>
              <w:t>Swim Classification Records/Corrigwell/2026/Corrigwell Swim Classification Roster 2026.xlsx - Classification Roster rows 6-812.</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S18  </w:t>
            </w:r>
            <w:r>
              <w:rPr>
                <w:rFonts w:ascii="Liberation Sans" w:hAnsi="Liberation Sans" w:eastAsia="Liberation Sans"/>
                <w:b w:val="0"/>
                <w:sz w:val="14"/>
              </w:rPr>
              <w:t>State Licensing/License History Register 2022-2026.xlsx - License Register rows 22-23, 42-43, 62-63, 82-83, 102-103 and 122-123.</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S4  </w:t>
            </w:r>
            <w:r>
              <w:rPr>
                <w:rFonts w:ascii="Liberation Sans" w:hAnsi="Liberation Sans" w:eastAsia="Liberation Sans"/>
                <w:b w:val="0"/>
                <w:sz w:val="14"/>
              </w:rPr>
              <w:t>Swim Classification Records/Corrigwell/2026/Corrigwell Swim Test Summary 2026.xlsx - Test Events rows 6-149.</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S19  </w:t>
            </w:r>
            <w:r>
              <w:rPr>
                <w:rFonts w:ascii="Liberation Sans" w:hAnsi="Liberation Sans" w:eastAsia="Liberation Sans"/>
                <w:b w:val="0"/>
                <w:sz w:val="14"/>
              </w:rPr>
              <w:t>Corporate Risk and Compliance/Scope Isolation Memo 2026.docx - July 6, 2026; narrative tested against primary logs.</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S5  </w:t>
            </w:r>
            <w:r>
              <w:rPr>
                <w:rFonts w:ascii="Liberation Sans" w:hAnsi="Liberation Sans" w:eastAsia="Liberation Sans"/>
                <w:b w:val="0"/>
                <w:sz w:val="14"/>
              </w:rPr>
              <w:t>Swim Classification Records/Swim Test Administration Guide.docx - sections 7, 11 and 12.</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S20  </w:t>
            </w:r>
            <w:r>
              <w:rPr>
                <w:rFonts w:ascii="Liberation Sans" w:hAnsi="Liberation Sans" w:eastAsia="Liberation Sans"/>
                <w:b w:val="0"/>
                <w:sz w:val="14"/>
              </w:rPr>
              <w:t>Sibling Camp Files/Loon Hollow/Loon Hollow 2026 Swim Classification Roster.xlsx - Classification Roster rows 7-221.</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S6  </w:t>
            </w:r>
            <w:r>
              <w:rPr>
                <w:rFonts w:ascii="Liberation Sans" w:hAnsi="Liberation Sans" w:eastAsia="Liberation Sans"/>
                <w:b w:val="0"/>
                <w:sz w:val="14"/>
              </w:rPr>
              <w:t>Corporate Risk and Compliance/Waterfront Standard Operating Policies.docx - sections 2, 4, 6 and 13.</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S21  </w:t>
            </w:r>
            <w:r>
              <w:rPr>
                <w:rFonts w:ascii="Liberation Sans" w:hAnsi="Liberation Sans" w:eastAsia="Liberation Sans"/>
                <w:b w:val="0"/>
                <w:sz w:val="14"/>
              </w:rPr>
              <w:t>Sibling Camp Files/Bluegill Point/Bluegill Point 2026 Swim Classification Roster.csv - lines 2-185.</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S7  </w:t>
            </w:r>
            <w:r>
              <w:rPr>
                <w:rFonts w:ascii="Liberation Sans" w:hAnsi="Liberation Sans" w:eastAsia="Liberation Sans"/>
                <w:b w:val="0"/>
                <w:sz w:val="14"/>
              </w:rPr>
              <w:t>Waterfront Operations/Corrigwell/2026/Corrigwell Water Quality Log 2026.xlsx - Season Log rows 7-183.</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S22  </w:t>
            </w:r>
            <w:r>
              <w:rPr>
                <w:rFonts w:ascii="Liberation Sans" w:hAnsi="Liberation Sans" w:eastAsia="Liberation Sans"/>
                <w:b w:val="0"/>
                <w:sz w:val="14"/>
              </w:rPr>
              <w:t>Sibling Camp Files/Otter Run/Otter Run 2026 Swim Classification Roster.xlsx - Classification Roster rows 7-161.</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S8  </w:t>
            </w:r>
            <w:r>
              <w:rPr>
                <w:rFonts w:ascii="Liberation Sans" w:hAnsi="Liberation Sans" w:eastAsia="Liberation Sans"/>
                <w:b w:val="0"/>
                <w:sz w:val="14"/>
              </w:rPr>
              <w:t>Waterfront Operations/Corrigwell/2026/Corrigwell Ratio Schedule 2026.xlsx - Rotation Schedule rows 7-852.</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S23  </w:t>
            </w:r>
            <w:r>
              <w:rPr>
                <w:rFonts w:ascii="Liberation Sans" w:hAnsi="Liberation Sans" w:eastAsia="Liberation Sans"/>
                <w:b w:val="0"/>
                <w:sz w:val="14"/>
              </w:rPr>
              <w:t>Swim Classification Records/Roster Completion Instructions.docx - signature-block completion rule, paragraph 14.</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S9  </w:t>
            </w:r>
            <w:r>
              <w:rPr>
                <w:rFonts w:ascii="Liberation Sans" w:hAnsi="Liberation Sans" w:eastAsia="Liberation Sans"/>
                <w:b w:val="0"/>
                <w:sz w:val="14"/>
              </w:rPr>
              <w:t>Waterfront Operations/Corrigwell/2026/Corrigwell Incident and First Aid Log 2026.xlsx - Incident and First Aid Log rows 7-110.</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S24  </w:t>
            </w:r>
            <w:r>
              <w:rPr>
                <w:rFonts w:ascii="Liberation Sans" w:hAnsi="Liberation Sans" w:eastAsia="Liberation Sans"/>
                <w:b w:val="0"/>
                <w:sz w:val="14"/>
              </w:rPr>
              <w:t>Swim Classification Records/Corrigwell/2026/Beginner Test Retest Log 2026.csv - lines 2-63.</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S10  </w:t>
            </w:r>
            <w:r>
              <w:rPr>
                <w:rFonts w:ascii="Liberation Sans" w:hAnsi="Liberation Sans" w:eastAsia="Liberation Sans"/>
                <w:b w:val="0"/>
                <w:sz w:val="14"/>
              </w:rPr>
              <w:t>Waterfront Operations/Corrigwell/2026/Safety Equipment Checklist 2026.csv - corroborating equipment-control record.</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S25  </w:t>
            </w:r>
            <w:r>
              <w:rPr>
                <w:rFonts w:ascii="Liberation Sans" w:hAnsi="Liberation Sans" w:eastAsia="Liberation Sans"/>
                <w:b w:val="0"/>
                <w:sz w:val="14"/>
              </w:rPr>
              <w:t>Credential Records/Corrigwell/2026/Corrigwell Lifeguard Certification File 2026.xlsx - Certification Records rows 7-113.</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S11  </w:t>
            </w:r>
            <w:r>
              <w:rPr>
                <w:rFonts w:ascii="Liberation Sans" w:hAnsi="Liberation Sans" w:eastAsia="Liberation Sans"/>
                <w:b w:val="0"/>
                <w:sz w:val="14"/>
              </w:rPr>
              <w:t>Camp Administration/Deadline Coordination Memo 2026.docx - July 1 memo, paragraphs 9-12 and deadline table.</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S26  </w:t>
            </w:r>
            <w:r>
              <w:rPr>
                <w:rFonts w:ascii="Liberation Sans" w:hAnsi="Liberation Sans" w:eastAsia="Liberation Sans"/>
                <w:b w:val="0"/>
                <w:sz w:val="14"/>
              </w:rPr>
              <w:t>Credential Records/Corrigwell/2026/Corrigwell Credential Expiry Tracker 2026.xlsx - Expiry Tracker.</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S12  </w:t>
            </w:r>
            <w:r>
              <w:rPr>
                <w:rFonts w:ascii="Liberation Sans" w:hAnsi="Liberation Sans" w:eastAsia="Liberation Sans"/>
                <w:b w:val="0"/>
                <w:sz w:val="14"/>
              </w:rPr>
              <w:t>Corporate Risk and Compliance/deadline reconciliation notes.md - lines 5-13 and 20-21; internal scratch record, subordinate to external directives.</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S27  </w:t>
            </w:r>
            <w:r>
              <w:rPr>
                <w:rFonts w:ascii="Liberation Sans" w:hAnsi="Liberation Sans" w:eastAsia="Liberation Sans"/>
                <w:b w:val="0"/>
                <w:sz w:val="14"/>
              </w:rPr>
              <w:t>Credential Records/Corrigwell/2026/Corrigwell Recertification Log 2025-2026.xlsx - checked for ASC-2; none found.</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S13  </w:t>
            </w:r>
            <w:r>
              <w:rPr>
                <w:rFonts w:ascii="Liberation Sans" w:hAnsi="Liberation Sans" w:eastAsia="Liberation Sans"/>
                <w:b w:val="0"/>
                <w:sz w:val="14"/>
              </w:rPr>
              <w:t>State Licensing/State Finding Letter - Corrigwell 2026.pdf - pages 1-2, dated June 15, 2026.</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S28  </w:t>
            </w:r>
            <w:r>
              <w:rPr>
                <w:rFonts w:ascii="Liberation Sans" w:hAnsi="Liberation Sans" w:eastAsia="Liberation Sans"/>
                <w:b w:val="0"/>
                <w:sz w:val="14"/>
              </w:rPr>
              <w:t>Camp Administration/Aquatics Leadership Org Chart 2026.pptx - slide 1, current July 1, 2026.</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S14  </w:t>
            </w:r>
            <w:r>
              <w:rPr>
                <w:rFonts w:ascii="Liberation Sans" w:hAnsi="Liberation Sans" w:eastAsia="Liberation Sans"/>
                <w:b w:val="0"/>
                <w:sz w:val="14"/>
              </w:rPr>
              <w:t>Swim Classification Records/Corrigwell/2026/Session Calendar and Enrollment 2026.xlsx - Session Calendar rows 3 and 6-8.</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S29  </w:t>
            </w:r>
            <w:r>
              <w:rPr>
                <w:rFonts w:ascii="Liberation Sans" w:hAnsi="Liberation Sans" w:eastAsia="Liberation Sans"/>
                <w:b w:val="0"/>
                <w:sz w:val="14"/>
              </w:rPr>
              <w:t>Camp Administration/Aquatics Leadership Meeting Minutes 2022-2026.docx - August 10, 2026 entry; later outcome evidence.</w:t>
            </w:r>
          </w:p>
        </w:tc>
      </w:tr>
      <w:tr>
        <w:trPr>
          <w:cantSplit/>
        </w:trPr>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S15  </w:t>
            </w:r>
            <w:r>
              <w:rPr>
                <w:rFonts w:ascii="Liberation Sans" w:hAnsi="Liberation Sans" w:eastAsia="Liberation Sans"/>
                <w:b w:val="0"/>
                <w:sz w:val="14"/>
              </w:rPr>
              <w:t>Corporate Risk and Compliance/Corrective Action Plan 2026.docx - sections 5-7 and action table.</w:t>
            </w:r>
          </w:p>
        </w:tc>
        <w:tc>
          <w:tcPr>
            <w:tcW w:type="dxa" w:w="5069"/>
            <w:tcMar>
              <w:top w:w="30" w:type="dxa"/>
              <w:start w:w="65" w:type="dxa"/>
              <w:bottom w:w="30" w:type="dxa"/>
              <w:end w:w="85" w:type="dxa"/>
            </w:tcMar>
            <w:tcBorders>
              <w:top w:val="nil" w:sz="0" w:color="FFFFFF"/>
              <w:bottom w:val="nil" w:sz="0" w:color="FFFFFF"/>
              <w:left w:val="nil" w:sz="0" w:color="FFFFFF"/>
              <w:right w:val="nil" w:sz="0" w:color="FFFFFF"/>
              <w:insideH w:val="nil" w:sz="0" w:color="FFFFFF"/>
              <w:insideV w:val="nil" w:sz="0" w:color="FFFFFF"/>
            </w:tcBorders>
          </w:tcPr>
          <w:p>
            <w:pPr>
              <w:spacing w:after="0" w:line="240" w:lineRule="auto"/>
            </w:pPr>
            <w:r>
              <w:rPr>
                <w:rFonts w:ascii="Liberation Sans" w:hAnsi="Liberation Sans" w:eastAsia="Liberation Sans"/>
                <w:b/>
                <w:color w:val="0B6B6B"/>
                <w:sz w:val="14"/>
              </w:rPr>
              <w:t xml:space="preserve">S30  </w:t>
            </w:r>
            <w:r>
              <w:rPr>
                <w:rFonts w:ascii="Liberation Sans" w:hAnsi="Liberation Sans" w:eastAsia="Liberation Sans"/>
                <w:b w:val="0"/>
                <w:sz w:val="14"/>
              </w:rPr>
              <w:t>Insurance and Claims/Carrier Renewal Questionnaire Cover Letter 2026.pdf - page 1, dated June 22, 2026.</w:t>
            </w:r>
          </w:p>
        </w:tc>
      </w:tr>
    </w:tbl>
    <w:p>
      <w:pPr>
        <w:spacing w:before="100" w:after="0"/>
      </w:pPr>
      <w:r>
        <w:rPr>
          <w:rFonts w:ascii="Liberation Sans" w:hAnsi="Liberation Sans" w:eastAsia="Liberation Sans"/>
          <w:b/>
          <w:color w:val="17324D"/>
          <w:sz w:val="14"/>
        </w:rPr>
        <w:t xml:space="preserve">Scope </w:t>
      </w:r>
      <w:r>
        <w:rPr>
          <w:rFonts w:ascii="Liberation Sans" w:hAnsi="Liberation Sans" w:eastAsia="Liberation Sans"/>
          <w:b w:val="0"/>
          <w:color w:val="536474"/>
          <w:sz w:val="14"/>
        </w:rPr>
        <w:t>note: public/nyc-athletic-facilities.csv, public/nyc-parks-events-listing.csv and public/chicago-park-district-activities.csv were excluded as directed. No supporting spreadsheet or regional file is attached; all calculations and classifications are contained in this memorandum.</w:t>
      </w:r>
    </w:p>
    <w:sectPr w:rsidR="00FC693F" w:rsidRPr="0006063C" w:rsidSect="00034616">
      <w:headerReference w:type="default" r:id="rId9"/>
      <w:footerReference w:type="default" r:id="rId10"/>
      <w:pgSz w:w="12240" w:h="15840"/>
      <w:pgMar w:top="835" w:right="936" w:bottom="806" w:left="936" w:header="36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496"/>
      <w:gridCol w:w="1872"/>
    </w:tblGrid>
    <w:tr>
      <w:tc>
        <w:tcPr>
          <w:tcW w:type="dxa" w:w="5184"/>
          <w:tcMar>
            <w:top w:w="0" w:type="dxa"/>
            <w:start w:w="0" w:type="dxa"/>
            <w:bottom w:w="0" w:type="dxa"/>
            <w:end w:w="0" w:type="dxa"/>
          </w:tcMar>
        </w:tcPr>
        <w:p>
          <w:pPr>
            <w:spacing w:after="0"/>
          </w:pPr>
          <w:r>
            <w:rPr>
              <w:rFonts w:ascii="Liberation Sans" w:hAnsi="Liberation Sans" w:eastAsia="Liberation Sans"/>
              <w:b w:val="0"/>
              <w:color w:val="536474"/>
              <w:sz w:val="14"/>
            </w:rPr>
            <w:t>KVL Camps  |  Case BYC-FND-2026-0147  |  July 1 reference date</w:t>
          </w:r>
        </w:p>
      </w:tc>
      <w:tc>
        <w:tcPr>
          <w:tcW w:type="dxa" w:w="5184"/>
          <w:tcMar>
            <w:top w:w="0" w:type="dxa"/>
            <w:start w:w="0" w:type="dxa"/>
            <w:bottom w:w="0" w:type="dxa"/>
            <w:end w:w="0" w:type="dxa"/>
          </w:tcMar>
        </w:tcPr>
        <w:p>
          <w:pPr>
            <w:spacing w:after="0"/>
            <w:jc w:val="right"/>
          </w:pPr>
          <w:r>
            <w:rPr>
              <w:rFonts w:ascii="Liberation Sans" w:hAnsi="Liberation Sans" w:eastAsia="Liberation Sans"/>
              <w:b w:val="0"/>
              <w:color w:val="536474"/>
              <w:sz w:val="14"/>
            </w:rPr>
            <w:t xml:space="preserve">Page </w:t>
          </w:r>
          <w:r>
            <w:rPr>
              <w:rFonts w:ascii="Liberation Sans" w:hAnsi="Liberation Sans" w:eastAsia="Liberation Sans"/>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6768"/>
      <w:gridCol w:w="3600"/>
    </w:tblGrid>
    <w:tr>
      <w:tc>
        <w:tcPr>
          <w:tcW w:type="dxa" w:w="5184"/>
          <w:tcMar>
            <w:top w:w="0" w:type="dxa"/>
            <w:start w:w="0" w:type="dxa"/>
            <w:bottom w:w="45" w:type="dxa"/>
            <w:end w:w="0" w:type="dxa"/>
          </w:tcMar>
          <w:tcBorders>
            <w:bottom w:val="single" w:sz="14" w:color="0B6B6B"/>
          </w:tcBorders>
        </w:tcPr>
        <w:p>
          <w:pPr>
            <w:spacing w:after="0"/>
          </w:pPr>
          <w:r>
            <w:rPr>
              <w:rFonts w:ascii="Liberation Sans" w:hAnsi="Liberation Sans" w:eastAsia="Liberation Sans"/>
              <w:b/>
              <w:i w:val="0"/>
              <w:color w:val="17324D"/>
              <w:sz w:val="18"/>
            </w:rPr>
            <w:t>KVL CAMPS</w:t>
          </w:r>
        </w:p>
      </w:tc>
      <w:tc>
        <w:tcPr>
          <w:tcW w:type="dxa" w:w="5184"/>
          <w:tcMar>
            <w:top w:w="0" w:type="dxa"/>
            <w:start w:w="0" w:type="dxa"/>
            <w:bottom w:w="45" w:type="dxa"/>
            <w:end w:w="0" w:type="dxa"/>
          </w:tcMar>
          <w:tcBorders>
            <w:bottom w:val="single" w:sz="14" w:color="0B6B6B"/>
          </w:tcBorders>
        </w:tcPr>
        <w:p>
          <w:pPr>
            <w:spacing w:after="0"/>
            <w:jc w:val="right"/>
          </w:pPr>
          <w:r>
            <w:rPr>
              <w:rFonts w:ascii="Liberation Sans" w:hAnsi="Liberation Sans" w:eastAsia="Liberation Sans"/>
              <w:b/>
              <w:i w:val="0"/>
              <w:color w:val="0B6B6B"/>
              <w:sz w:val="14"/>
            </w:rPr>
            <w:t>BOARD / LICENSING BUREAU</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eastAsia="Liberation Sans"/>
      <w:color w:val="16232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rPr>
  </w:style>
  <w:style w:type="character" w:customStyle="1" w:styleId="HeaderChar">
    <w:name w:val="Header Char"/>
    <w:basedOn w:val="DefaultParagraphFont"/>
    <w:link w:val="Header"/>
    <w:uiPriority w:val="99"/>
    <w:rsid w:val="00E618BF"/>
    <w:rPr>
      <w:rFonts w:ascii="Liberation Sans" w:hAnsi="Liberation Sans" w:eastAsia="Liberation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rPr>
  </w:style>
  <w:style w:type="character" w:customStyle="1" w:styleId="FooterChar">
    <w:name w:val="Footer Char"/>
    <w:basedOn w:val="DefaultParagraphFont"/>
    <w:link w:val="Footer"/>
    <w:uiPriority w:val="99"/>
    <w:rsid w:val="00E618BF"/>
    <w:rPr>
      <w:rFonts w:ascii="Liberation Sans" w:hAnsi="Liberation Sans" w:eastAsia="Liberation Sans"/>
    </w:rPr>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Liberation Sans" w:hAnsi="Liberation Sans" w:eastAsia="Liberation Sans"/>
      <w:b/>
      <w:bCs/>
      <w:color w:val="0B6B6B"/>
      <w:sz w:val="25"/>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Liberation Sans" w:hAnsi="Liberation Sans" w:eastAsia="Liberation Sans"/>
      <w:b/>
      <w:bCs/>
      <w:color w:val="17324D"/>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eastAsia="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ans" w:hAnsi="Liberation Sans" w:eastAsia="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ans" w:hAnsi="Liberation Sans" w:eastAsia="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ans" w:hAnsi="Liberation Sans" w:eastAsia="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ans" w:hAnsi="Liberation Sans" w:eastAsia="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ans" w:hAnsi="Liberation Sans" w:eastAsia="Liberation Sans"/>
      <w:i/>
      <w:iCs/>
      <w:color w:val="404040" w:themeColor="text1" w:themeTint="BF"/>
      <w:sz w:val="20"/>
      <w:szCs w:val="20"/>
    </w:rPr>
  </w:style>
  <w:style w:type="character" w:default="1" w:styleId="DefaultParagraphFont">
    <w:name w:val="Default Paragraph Font"/>
    <w:uiPriority w:val="1"/>
    <w:semiHidden/>
    <w:unhideWhenUsed/>
    <w:rPr>
      <w:rFonts w:ascii="Liberation Sans" w:hAnsi="Liberation Sans" w:eastAsia="Liberation Sans"/>
    </w:rPr>
  </w:style>
  <w:style w:type="table" w:default="1" w:styleId="TableNormal">
    <w:name w:val="Normal Table"/>
    <w:uiPriority w:val="99"/>
    <w:semiHidden/>
    <w:unhideWhenUsed/>
    <w:rPr>
      <w:rFonts w:ascii="Liberation Sans" w:hAnsi="Liberation Sans" w:eastAsia="Liberation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Liberation Sans" w:hAnsi="Liberation Sans" w:eastAsia="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Liberation Sans" w:hAnsi="Liberation Sans" w:eastAsia="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Liberation Sans" w:hAnsi="Liberation Sans" w:eastAsia="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Liberation Sans" w:hAnsi="Liberation Sans" w:eastAsia="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Liberation Sans" w:hAnsi="Liberation Sans" w:eastAsia="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rPr>
  </w:style>
  <w:style w:type="character" w:customStyle="1" w:styleId="BodyTextChar">
    <w:name w:val="Body Text Char"/>
    <w:basedOn w:val="DefaultParagraphFont"/>
    <w:link w:val="BodyText"/>
    <w:uiPriority w:val="99"/>
    <w:rsid w:val="00AA1D8D"/>
    <w:rPr>
      <w:rFonts w:ascii="Liberation Sans" w:hAnsi="Liberation Sans" w:eastAsia="Liberation Sans"/>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rPr>
  </w:style>
  <w:style w:type="character" w:customStyle="1" w:styleId="BodyText2Char">
    <w:name w:val="Body Text 2 Char"/>
    <w:basedOn w:val="DefaultParagraphFont"/>
    <w:link w:val="BodyText2"/>
    <w:uiPriority w:val="99"/>
    <w:rsid w:val="00AA1D8D"/>
    <w:rPr>
      <w:rFonts w:ascii="Liberation Sans" w:hAnsi="Liberation Sans" w:eastAsia="Liberation Sans"/>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sz w:val="16"/>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sz w:val="16"/>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rPr>
  </w:style>
  <w:style w:type="paragraph" w:styleId="List2">
    <w:name w:val="List 2"/>
    <w:basedOn w:val="Normal"/>
    <w:uiPriority w:val="99"/>
    <w:unhideWhenUsed/>
    <w:rsid w:val="00326F90"/>
    <w:pPr>
      <w:ind w:left="720" w:hanging="360"/>
      <w:contextualSpacing/>
    </w:pPr>
    <w:rPr>
      <w:rFonts w:ascii="Liberation Sans" w:hAnsi="Liberation Sans" w:eastAsia="Liberation Sans"/>
    </w:rPr>
  </w:style>
  <w:style w:type="paragraph" w:styleId="List3">
    <w:name w:val="List 3"/>
    <w:basedOn w:val="Normal"/>
    <w:uiPriority w:val="99"/>
    <w:unhideWhenUsed/>
    <w:rsid w:val="00326F90"/>
    <w:pPr>
      <w:ind w:left="1080" w:hanging="360"/>
      <w:contextualSpacing/>
    </w:pPr>
    <w:rPr>
      <w:rFonts w:ascii="Liberation Sans" w:hAnsi="Liberation Sans" w:eastAsia="Liberation Sans"/>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sz w:val="20"/>
      <w:szCs w:val="20"/>
    </w:rPr>
  </w:style>
  <w:style w:type="paragraph" w:styleId="Quote">
    <w:name w:val="Quote"/>
    <w:basedOn w:val="Normal"/>
    <w:next w:val="Normal"/>
    <w:link w:val="QuoteChar"/>
    <w:uiPriority w:val="29"/>
    <w:qFormat/>
    <w:rsid w:val="00FC693F"/>
    <w:rPr>
      <w:rFonts w:ascii="Liberation Sans" w:hAnsi="Liberation Sans" w:eastAsia="Liberation Sans"/>
      <w:i/>
      <w:iCs/>
      <w:color w:val="000000" w:themeColor="text1"/>
    </w:rPr>
  </w:style>
  <w:style w:type="character" w:customStyle="1" w:styleId="QuoteChar">
    <w:name w:val="Quote Char"/>
    <w:basedOn w:val="DefaultParagraphFont"/>
    <w:link w:val="Quote"/>
    <w:uiPriority w:val="29"/>
    <w:rsid w:val="00FC693F"/>
    <w:rPr>
      <w:rFonts w:ascii="Liberation Sans" w:hAnsi="Liberation Sans" w:eastAsia="Liberation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Liberation Sans" w:hAnsi="Liberation Sans" w:eastAsia="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Liberation Sans" w:hAnsi="Liberation Sans" w:eastAsia="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Liberation Sans" w:hAnsi="Liberation Sans" w:eastAsia="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Liberation Sans" w:hAnsi="Liberation Sans" w:eastAsia="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Liberation Sans" w:hAnsi="Liberation Sans" w:eastAsia="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Liberation Sans" w:hAnsi="Liberation Sans" w:eastAsia="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b/>
      <w:bCs/>
      <w:color w:val="4F81BD" w:themeColor="accent1"/>
      <w:sz w:val="18"/>
      <w:szCs w:val="18"/>
    </w:rPr>
  </w:style>
  <w:style w:type="character" w:styleId="Strong">
    <w:name w:val="Strong"/>
    <w:basedOn w:val="DefaultParagraphFont"/>
    <w:uiPriority w:val="22"/>
    <w:qFormat/>
    <w:rsid w:val="00FC693F"/>
    <w:rPr>
      <w:rFonts w:ascii="Liberation Sans" w:hAnsi="Liberation Sans" w:eastAsia="Liberation Sans"/>
      <w:b/>
      <w:bCs/>
    </w:rPr>
  </w:style>
  <w:style w:type="character" w:styleId="Emphasis">
    <w:name w:val="Emphasis"/>
    <w:basedOn w:val="DefaultParagraphFont"/>
    <w:uiPriority w:val="20"/>
    <w:qFormat/>
    <w:rsid w:val="00FC693F"/>
    <w:rPr>
      <w:rFonts w:ascii="Liberation Sans" w:hAnsi="Liberation Sans" w:eastAsia="Liberation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b/>
      <w:bCs/>
      <w:i/>
      <w:iCs/>
      <w:color w:val="4F81BD" w:themeColor="accent1"/>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b/>
      <w:bCs/>
      <w:i/>
      <w:iCs/>
      <w:color w:val="4F81BD" w:themeColor="accent1"/>
    </w:rPr>
  </w:style>
  <w:style w:type="character" w:styleId="SubtleEmphasis">
    <w:name w:val="Subtle Emphasis"/>
    <w:basedOn w:val="DefaultParagraphFont"/>
    <w:uiPriority w:val="19"/>
    <w:qFormat/>
    <w:rsid w:val="00FC693F"/>
    <w:rPr>
      <w:rFonts w:ascii="Liberation Sans" w:hAnsi="Liberation Sans" w:eastAsia="Liberation Sans"/>
      <w:i/>
      <w:iCs/>
      <w:color w:val="808080" w:themeColor="text1" w:themeTint="7F"/>
    </w:rPr>
  </w:style>
  <w:style w:type="character" w:styleId="IntenseEmphasis">
    <w:name w:val="Intense Emphasis"/>
    <w:basedOn w:val="DefaultParagraphFont"/>
    <w:uiPriority w:val="21"/>
    <w:qFormat/>
    <w:rsid w:val="00FC693F"/>
    <w:rPr>
      <w:rFonts w:ascii="Liberation Sans" w:hAnsi="Liberation Sans" w:eastAsia="Liberation Sans"/>
      <w:b/>
      <w:bCs/>
      <w:i/>
      <w:iCs/>
      <w:color w:val="4F81BD" w:themeColor="accent1"/>
    </w:rPr>
  </w:style>
  <w:style w:type="character" w:styleId="SubtleReference">
    <w:name w:val="Subtle Reference"/>
    <w:basedOn w:val="DefaultParagraphFont"/>
    <w:uiPriority w:val="31"/>
    <w:qFormat/>
    <w:rsid w:val="00FC693F"/>
    <w:rPr>
      <w:rFonts w:ascii="Liberation Sans" w:hAnsi="Liberation Sans" w:eastAsia="Liberation Sans"/>
      <w:smallCaps/>
      <w:color w:val="C0504D" w:themeColor="accent2"/>
      <w:u w:val="single"/>
    </w:rPr>
  </w:style>
  <w:style w:type="character" w:styleId="IntenseReference">
    <w:name w:val="Intense Reference"/>
    <w:basedOn w:val="DefaultParagraphFont"/>
    <w:uiPriority w:val="32"/>
    <w:qFormat/>
    <w:rsid w:val="00FC693F"/>
    <w:rPr>
      <w:rFonts w:ascii="Liberation Sans" w:hAnsi="Liberation Sans" w:eastAsia="Liberation Sans"/>
      <w:b/>
      <w:bCs/>
      <w:smallCaps/>
      <w:color w:val="C0504D" w:themeColor="accent2"/>
      <w:spacing w:val="5"/>
      <w:u w:val="single"/>
    </w:rPr>
  </w:style>
  <w:style w:type="character" w:styleId="BookTitle">
    <w:name w:val="Book Title"/>
    <w:basedOn w:val="DefaultParagraphFont"/>
    <w:uiPriority w:val="33"/>
    <w:qFormat/>
    <w:rsid w:val="00FC693F"/>
    <w:rPr>
      <w:rFonts w:ascii="Liberation Sans" w:hAnsi="Liberation Sans" w:eastAsia="Liberation Sans"/>
      <w:b/>
      <w:bCs/>
      <w:smallCaps/>
      <w:spacing w:val="5"/>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rPr>
  </w:style>
  <w:style w:type="table" w:styleId="TableGrid">
    <w:name w:val="Table Grid"/>
    <w:basedOn w:val="TableNormal"/>
    <w:uiPriority w:val="59"/>
    <w:rsid w:val="00FC693F"/>
    <w:pPr>
      <w:spacing w:after="0" w:line="240" w:lineRule="auto"/>
    </w:pPr>
    <w:rPr>
      <w:rFonts w:ascii="Liberation Sans" w:hAnsi="Liberation Sans" w:eastAsia="Liberation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Liberation Sans" w:hAnsi="Liberation Sans" w:eastAsia="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Bullet">
    <w:name w:val="Memo Bullet"/>
    <w:pPr>
      <w:spacing w:after="48" w:line="250" w:lineRule="auto"/>
      <w:ind w:left="245" w:hanging="245"/>
    </w:pPr>
    <w:rPr>
      <w:rFonts w:ascii="Liberation Sans" w:hAnsi="Liberation Sans" w:eastAsia="Liberation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KVL Camps Swim Assessment Compliance Audit Memorandum</dc:title>
  <dc:subject>Case BYC-FND-2026-0147</dc:subject>
  <dc:creator>KVL Camps Operations Director</dc:creator>
  <cp:keywords>swim assessment, credential compliance, corrective action, licensing</cp:keywords>
  <dc:description>generated by python-docx</dc:description>
  <cp:lastModifiedBy/>
  <cp:revision>1</cp:revision>
  <dcterms:created xsi:type="dcterms:W3CDTF">2013-12-23T23:15:00Z</dcterms:created>
  <dcterms:modified xsi:type="dcterms:W3CDTF">2013-12-23T23:15:00Z</dcterms:modified>
  <cp:category/>
</cp:coreProperties>
</file>