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Liberation Sans" w:hAnsi="Liberation Sans"/>
          <w:b/>
          <w:color w:val="17324D"/>
          <w:sz w:val="32"/>
        </w:rPr>
        <w:t>CHALDALE HARBOR DISTRICT</w:t>
      </w:r>
    </w:p>
    <w:p>
      <w:pPr>
        <w:spacing w:after="120"/>
      </w:pPr>
      <w:r>
        <w:rPr>
          <w:rFonts w:ascii="Liberation Sans" w:hAnsi="Liberation Sans"/>
          <w:b/>
          <w:color w:val="197278"/>
          <w:sz w:val="18"/>
        </w:rPr>
        <w:t>BOARD MEMORANDUM | MOORAGE BILLING AND ACCOUNT-STATE AUDIT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9720"/>
      </w:tblGrid>
      <w:tr>
        <w:tc>
          <w:tcPr>
            <w:tcW w:type="dxa" w:w="532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TO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Board of Harbor Commissioners</w:t>
            </w:r>
          </w:p>
        </w:tc>
      </w:tr>
      <w:tr>
        <w:tc>
          <w:tcPr>
            <w:tcW w:type="dxa" w:w="532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FROM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Moorage Counter Clerk, Chaldale Harbor Marina</w:t>
            </w:r>
          </w:p>
        </w:tc>
      </w:tr>
      <w:tr>
        <w:tc>
          <w:tcPr>
            <w:tcW w:type="dxa" w:w="532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Friday, August 7, 2026</w:t>
            </w:r>
          </w:p>
        </w:tc>
      </w:tr>
      <w:tr>
        <w:tc>
          <w:tcPr>
            <w:tcW w:type="dxa" w:w="5328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SUBJECT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t>Collection candidates, queue exceptions, billing reconciliation, and aging controls</w:t>
            </w:r>
          </w:p>
        </w:tc>
      </w:tr>
    </w:tbl>
    <w:p>
      <w:pPr>
        <w:spacing w:after="0"/>
      </w:pPr>
    </w:p>
    <w:p>
      <w:pPr>
        <w:spacing w:before="100" w:after="40"/>
      </w:pPr>
      <w:r>
        <w:rPr>
          <w:rFonts w:ascii="Liberation Sans" w:hAnsi="Liberation Sans"/>
          <w:b/>
          <w:color w:val="17324D"/>
          <w:sz w:val="26"/>
        </w:rPr>
        <w:t>Recommendation</w:t>
      </w:r>
    </w:p>
    <w:p>
      <w:pPr>
        <w:spacing w:after="80" w:line="247" w:lineRule="auto"/>
      </w:pPr>
      <w:r>
        <w:rPr>
          <w:rFonts w:ascii="Liberation Sans" w:hAnsi="Liberation Sans"/>
          <w:color w:val="1F2933"/>
          <w:sz w:val="18"/>
        </w:rPr>
        <w:t>Authorize collection review for the 6 occupied accounts listed below, whose July 31 aging contains $4,368.00 in the 91-120 and 120+ buckets and $13,166.40 total due. Do not use the other reported total_due amounts, the apparent August billing shortfall, or the audited queue actions as a collection basis until Finance and the Harbormaster complete the reconciliations described on page 2.</w:t>
      </w:r>
    </w:p>
    <w:p>
      <w:pPr>
        <w:spacing w:before="100" w:after="40"/>
      </w:pPr>
      <w:r>
        <w:rPr>
          <w:rFonts w:ascii="Liberation Sans" w:hAnsi="Liberation Sans"/>
          <w:b/>
          <w:color w:val="17324D"/>
          <w:sz w:val="26"/>
        </w:rPr>
        <w:t>Board Decisions Requested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"/>
        <w:gridCol w:w="2232"/>
        <w:gridCol w:w="7704"/>
      </w:tblGrid>
      <w:tr>
        <w:tc>
          <w:tcPr>
            <w:tcW w:type="dxa" w:w="3552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#</w:t>
            </w:r>
          </w:p>
        </w:tc>
        <w:tc>
          <w:tcPr>
            <w:tcW w:type="dxa" w:w="3552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552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Collections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Advance the six arithmetic-clean occupied accounts to notice/payment-plan review; no other account is recommended from this file set.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Queue integrity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Place a records hold on the 15 unsupported LOA amendments followed by skips and direct review of the five supplied in-window skip packets that fail ledger reconciliation.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Billing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Require a complete August re-extract before adjustment: 317 occupied slips have no August monthly-moorage row in the supplied transaction file.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Aging</w:t>
            </w:r>
          </w:p>
        </w:tc>
        <w:tc>
          <w:tcPr>
            <w:tcW w:type="dxa" w:w="770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6"/>
              </w:rPr>
              <w:t>Correct 39 arithmetic errors before using reported total_due; the row totals are understated by $17,108.00 in aggregate.</w:t>
            </w:r>
          </w:p>
        </w:tc>
      </w:tr>
    </w:tbl>
    <w:p>
      <w:pPr>
        <w:spacing w:before="100" w:after="40"/>
      </w:pPr>
      <w:r>
        <w:rPr>
          <w:rFonts w:ascii="Liberation Sans" w:hAnsi="Liberation Sans"/>
          <w:b/>
          <w:color w:val="17324D"/>
          <w:sz w:val="26"/>
        </w:rPr>
        <w:t>Collection Candidates</w:t>
      </w:r>
    </w:p>
    <w:p>
      <w:pPr>
        <w:spacing w:after="40" w:line="247" w:lineRule="auto"/>
      </w:pPr>
      <w:r>
        <w:rPr>
          <w:rFonts w:ascii="Liberation Sans" w:hAnsi="Liberation Sans"/>
          <w:color w:val="1F2933"/>
          <w:sz w:val="15"/>
        </w:rPr>
        <w:t>Basis: ar_aging_2026-07-31.xlsx, AR_Aging columns days_90 and days_120_plus, joined from account_id suffix to slip_inventory_2026-08.csv; each row is OCCUPIED and its reported total_due equals the formula sum of buckets.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592"/>
        <w:gridCol w:w="1224"/>
        <w:gridCol w:w="1656"/>
        <w:gridCol w:w="1728"/>
      </w:tblGrid>
      <w:tr>
        <w:tc>
          <w:tcPr>
            <w:tcW w:type="dxa" w:w="2131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Account</w:t>
            </w:r>
          </w:p>
        </w:tc>
        <w:tc>
          <w:tcPr>
            <w:tcW w:type="dxa" w:w="2131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Tenant</w:t>
            </w:r>
          </w:p>
        </w:tc>
        <w:tc>
          <w:tcPr>
            <w:tcW w:type="dxa" w:w="2131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Slip</w:t>
            </w:r>
          </w:p>
        </w:tc>
        <w:tc>
          <w:tcPr>
            <w:tcW w:type="dxa" w:w="2131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91+ balance</w:t>
            </w:r>
          </w:p>
        </w:tc>
        <w:tc>
          <w:tcPr>
            <w:tcW w:type="dxa" w:w="2131"/>
            <w:vAlign w:val="center"/>
            <w:shd w:fill="17324D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Total due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AC-LP-0122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Paula Arroyo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LP-0122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$509.60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$2,038.40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AC-LP-0402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Dawn Brown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LP-0402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$384.80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$1,539.20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AC-LP-0602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Lee Maldonado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LP-0602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$1,206.40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$3,016.00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AC-LP-0605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Andrew Anderson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LP-0605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$530.40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$2,121.60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AC-LP-0713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Stacey Mitchell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LP-0713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$1,248.00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$2,496.00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AC-LP-0801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Allison Nguyen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LP-0801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$488.80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5"/>
              </w:rPr>
              <w:t>$1,955.20</w:t>
            </w:r>
          </w:p>
        </w:tc>
      </w:tr>
      <w:tr>
        <w:tc>
          <w:tcPr>
            <w:tcW w:type="dxa" w:w="1800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TOTAL</w:t>
            </w:r>
          </w:p>
        </w:tc>
        <w:tc>
          <w:tcPr>
            <w:tcW w:type="dxa" w:w="2592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Six accounts</w:t>
            </w:r>
          </w:p>
        </w:tc>
        <w:tc>
          <w:tcPr>
            <w:tcW w:type="dxa" w:w="1224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</w:r>
          </w:p>
        </w:tc>
        <w:tc>
          <w:tcPr>
            <w:tcW w:type="dxa" w:w="1656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$4,368.00</w:t>
            </w:r>
          </w:p>
        </w:tc>
        <w:tc>
          <w:tcPr>
            <w:tcW w:type="dxa" w:w="1728"/>
            <w:vAlign w:val="center"/>
            <w:shd w:fill="19727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5"/>
              </w:rPr>
              <w:t>$13,166.40</w:t>
            </w:r>
          </w:p>
        </w:tc>
      </w:tr>
    </w:tbl>
    <w:p>
      <w:r>
        <w:br w:type="page"/>
      </w:r>
    </w:p>
    <w:p>
      <w:pPr>
        <w:spacing w:before="100" w:after="40"/>
      </w:pPr>
      <w:r>
        <w:rPr>
          <w:rFonts w:ascii="Liberation Sans" w:hAnsi="Liberation Sans"/>
          <w:b/>
          <w:color w:val="17324D"/>
          <w:sz w:val="26"/>
        </w:rPr>
        <w:t>Audit Findings and Arithmetic</w:t>
      </w:r>
    </w:p>
    <w:p>
      <w:pPr>
        <w:spacing w:after="60" w:line="247" w:lineRule="auto"/>
      </w:pPr>
      <w:r>
        <w:rPr>
          <w:rFonts w:ascii="Liberation Sans" w:hAnsi="Liberation Sans"/>
          <w:b/>
          <w:color w:val="1F2933"/>
          <w:sz w:val="17"/>
        </w:rPr>
        <w:t xml:space="preserve">Queue skips. </w:t>
      </w:r>
      <w:r>
        <w:rPr>
          <w:rFonts w:ascii="Liberation Sans" w:hAnsi="Liberation Sans"/>
          <w:color w:val="1F2933"/>
          <w:sz w:val="17"/>
        </w:rPr>
        <w:t>skip_events_2022_2026.csv contains 309 events in the January 1, 2023 through July 31, 2026 window. Under the required strict test, none has verified contemporaneous proof: 304 have no supplied applicant-specific PDF, and all five supplied in-window packets have review_date two days after skip_date. Three are cover-only. The other two contain supporting pages but identify a different slip from the logged event. All five special-event offer IDs are absent from offer_events_2022_2026.csv. Standing Order 15-3 ss.3.2-3.3 and Appeal 2018-3 IV-A make the contemporaneous supporting file, not a later cover sheet, controlling.</w:t>
      </w:r>
    </w:p>
    <w:p>
      <w:pPr>
        <w:spacing w:after="60" w:line="247" w:lineRule="auto"/>
      </w:pPr>
      <w:r>
        <w:rPr>
          <w:rFonts w:ascii="Liberation Sans" w:hAnsi="Liberation Sans"/>
          <w:b/>
          <w:color w:val="1F2933"/>
          <w:sz w:val="17"/>
        </w:rPr>
        <w:t xml:space="preserve">LOA amendments. </w:t>
      </w:r>
      <w:r>
        <w:rPr>
          <w:rFonts w:ascii="Liberation Sans" w:hAnsi="Liberation Sans"/>
          <w:color w:val="1F2933"/>
          <w:sz w:val="17"/>
        </w:rPr>
        <w:t>amendment_log_2022_2026.csv has 200 LOA changes from August 1, 2022 through the audit date. Only WL-02401 reconciles to a supplied signed certificate matching applicant, value, and timing. Thus 199 are unsubstantiated from the supplied files; 15 are Priority 1 because skip_events_2022_2026.csv shows a downstream skip. The WL-01893 certificate does not cure its 2022 entry: it is dated 2024 and measures 31.4 feet, while the amendment changes 26.4 to 25.8 feet. Resolution 2022-06 s.4.3 controls from August 1, 2022 and requires the underlying signed certificate or yard measurement sheet at entry.</w:t>
      </w:r>
    </w:p>
    <w:p>
      <w:pPr>
        <w:spacing w:after="60" w:line="247" w:lineRule="auto"/>
      </w:pPr>
      <w:r>
        <w:rPr>
          <w:rFonts w:ascii="Liberation Sans" w:hAnsi="Liberation Sans"/>
          <w:b/>
          <w:color w:val="1F2933"/>
          <w:sz w:val="17"/>
        </w:rPr>
        <w:t xml:space="preserve">Billing. </w:t>
      </w:r>
      <w:r>
        <w:rPr>
          <w:rFonts w:ascii="Liberation Sans" w:hAnsi="Liberation Sans"/>
          <w:color w:val="1F2933"/>
          <w:sz w:val="17"/>
        </w:rPr>
        <w:t>For 1,086 OCCUPIED rows in slip_inventory_2026-08.csv, expected base moorage is MAX(rounded-up vessel LOA, nominal slip length) times $10.40 covered or $7.55 open: $439,918.30. The August 1 monthly-moorage rows in billing_transactions_2022_2026.csv total $319,760.05; actual - expected = $-120,158.25. Every one of the 769 supplied transactions matches exactly. The gap consists only of absent rows: Gullwing 127 / $49,762.05 and Salmonberry 190 / $70,396.20. This supports an extract-completeness inquiry, not a customer debt conclusion. The billable-length rule is Tariff Resolution 2019-14 s.1(4); Resolution 2022-06 ss.1.1-1.3 supplies the controlling rates.</w:t>
      </w:r>
    </w:p>
    <w:p>
      <w:pPr>
        <w:spacing w:after="60" w:line="247" w:lineRule="auto"/>
      </w:pPr>
      <w:r>
        <w:rPr>
          <w:rFonts w:ascii="Liberation Sans" w:hAnsi="Liberation Sans"/>
          <w:b/>
          <w:color w:val="1F2933"/>
          <w:sz w:val="17"/>
        </w:rPr>
        <w:t xml:space="preserve">Aging. </w:t>
      </w:r>
      <w:r>
        <w:rPr>
          <w:rFonts w:ascii="Liberation Sans" w:hAnsi="Liberation Sans"/>
          <w:color w:val="1F2933"/>
          <w:sz w:val="17"/>
        </w:rPr>
        <w:t>The raw bucket arithmetic in ar_aging_2026-07-31.xlsx is $147,836.00, while reported total_due sums to $130,728.00; $147,836.00 - $130,728.00 = $17,108.00 understated across 39 rows. The source Summary agrees with the recomputed 91-120 ($2,932.80) and 120+ ($1,435.20) bucket totals. None of the six proposed collection rows has a row arithmetic error.</w:t>
      </w:r>
    </w:p>
    <w:p>
      <w:pPr>
        <w:spacing w:before="60" w:after="40"/>
      </w:pPr>
      <w:r>
        <w:rPr>
          <w:rFonts w:ascii="Liberation Sans" w:hAnsi="Liberation Sans"/>
          <w:b/>
          <w:color w:val="197278"/>
          <w:sz w:val="20"/>
        </w:rPr>
        <w:t>Scope Limits</w:t>
      </w:r>
    </w:p>
    <w:p>
      <w:pPr>
        <w:spacing w:after="30"/>
        <w:ind w:left="245" w:hanging="202"/>
      </w:pPr>
      <w:r>
        <w:rPr>
          <w:rFonts w:ascii="Liberation Sans" w:hAnsi="Liberation Sans"/>
          <w:sz w:val="16"/>
        </w:rPr>
        <w:t>- The July 31 aging workbook is a snapshot. Without invoice-level due dates, the seven days to August 7 cannot be used to re-age individual balances; the requested source buckets govern.</w:t>
      </w:r>
    </w:p>
    <w:p>
      <w:pPr>
        <w:spacing w:after="30"/>
        <w:ind w:left="245" w:hanging="202"/>
      </w:pPr>
      <w:r>
        <w:rPr>
          <w:rFonts w:ascii="Liberation Sans" w:hAnsi="Liberation Sans"/>
          <w:sz w:val="16"/>
        </w:rPr>
        <w:t>- The two measurement certificates do not identify a current tenant in the August inventory. Current inventory vessel_loa_ft is therefore used as the available LOA proxy for occupied-slip billing. Current agreement measurement blocks would settle that limitation.</w:t>
      </w:r>
    </w:p>
    <w:p>
      <w:pPr>
        <w:spacing w:after="30"/>
        <w:ind w:left="245" w:hanging="202"/>
      </w:pPr>
      <w:r>
        <w:rPr>
          <w:rFonts w:ascii="Liberation Sans" w:hAnsi="Liberation Sans"/>
          <w:sz w:val="16"/>
        </w:rPr>
        <w:t>- A source_document label in the amendment log is not treated as proof when the underlying certificate or yard sheet is absent from the supplied files.</w:t>
      </w:r>
    </w:p>
    <w:p>
      <w:pPr>
        <w:spacing w:before="60" w:after="40"/>
      </w:pPr>
      <w:r>
        <w:rPr>
          <w:rFonts w:ascii="Liberation Sans" w:hAnsi="Liberation Sans"/>
          <w:b/>
          <w:color w:val="197278"/>
          <w:sz w:val="20"/>
        </w:rPr>
        <w:t>Recommended Motions</w:t>
      </w:r>
    </w:p>
    <w:p>
      <w:pPr>
        <w:spacing w:after="30"/>
        <w:ind w:left="259" w:hanging="259"/>
      </w:pPr>
      <w:r>
        <w:rPr>
          <w:rFonts w:ascii="Liberation Sans" w:hAnsi="Liberation Sans"/>
          <w:sz w:val="16"/>
        </w:rPr>
        <w:t>1. Direct Finance to validate notices and payment-plan status, then proceed under the tariff for the six listed accounts.</w:t>
      </w:r>
    </w:p>
    <w:p>
      <w:pPr>
        <w:spacing w:after="30"/>
        <w:ind w:left="259" w:hanging="259"/>
      </w:pPr>
      <w:r>
        <w:rPr>
          <w:rFonts w:ascii="Liberation Sans" w:hAnsi="Liberation Sans"/>
          <w:sz w:val="16"/>
        </w:rPr>
        <w:t>2. Direct Finance to correct and reissue the July 31 aging subledger and provide a complete August monthly-moorage extract.</w:t>
      </w:r>
    </w:p>
    <w:p>
      <w:pPr>
        <w:spacing w:after="30"/>
        <w:ind w:left="259" w:hanging="259"/>
      </w:pPr>
      <w:r>
        <w:rPr>
          <w:rFonts w:ascii="Liberation Sans" w:hAnsi="Liberation Sans"/>
          <w:sz w:val="16"/>
        </w:rPr>
        <w:t>3. Direct the Harbormaster to suspend reliance on the identified Priority 1 queue records pending Board/legal review, without disturbing completed assignments absent further order.</w:t>
      </w:r>
    </w:p>
    <w:p>
      <w:pPr>
        <w:spacing w:after="30"/>
        <w:ind w:left="259" w:hanging="259"/>
      </w:pPr>
      <w:r>
        <w:rPr>
          <w:rFonts w:ascii="Liberation Sans" w:hAnsi="Liberation Sans"/>
          <w:sz w:val="16"/>
        </w:rPr>
        <w:t>4. Direct Records staff to obtain or flag missing LOA support before those amendments are used in future offers, skips, slip classes, or rates.</w:t>
      </w:r>
    </w:p>
    <w:p>
      <w:pPr>
        <w:spacing w:before="60" w:after="40"/>
      </w:pPr>
      <w:r>
        <w:rPr>
          <w:rFonts w:ascii="Liberation Sans" w:hAnsi="Liberation Sans"/>
          <w:b/>
          <w:color w:val="197278"/>
          <w:sz w:val="20"/>
        </w:rPr>
        <w:t>Workbook Reference</w:t>
      </w:r>
    </w:p>
    <w:p>
      <w:pPr>
        <w:spacing w:after="20" w:line="247" w:lineRule="auto"/>
      </w:pPr>
      <w:r>
        <w:rPr>
          <w:rFonts w:ascii="Liberation Sans" w:hAnsi="Liberation Sans"/>
          <w:color w:val="1F2933"/>
          <w:sz w:val="15"/>
        </w:rPr>
        <w:t>chaldale_moorage_audit_2026-08.xlsx contains the formula-driven Summary, Queue Exceptions, Document Recon, Skip Audit, Amendment Audit, Billing Reconciliation, Aging &amp; Collections, Methodology, and hidden imported-source tabs. Filter the detailed audit sheets for the complete record populations.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B6874"/>
        <w:sz w:val="14"/>
      </w:rPr>
      <w:t>Chaldale Harbor District | Moorage audit | August 7,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Moorage Board Memo</dc:title>
  <dc:subject>Collection candidates and moorage audit findings</dc:subject>
  <dc:creator>Chaldale Harbor Marina - Moorage Counter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