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mallCaps/>
          <w:color w:val="1E5631"/>
          <w:sz w:val="28"/>
        </w:rPr>
        <w:t>BRIEFING NOTE — ANNUAL RETENTION FEE CYCLE AND PURGE</w:t>
      </w:r>
    </w:p>
    <w:tbl>
      <w:tblPr>
        <w:tblW w:type="auto" w:w="0"/>
        <w:tblLayout w:type="autofit"/>
        <w:tblLook w:firstColumn="1" w:firstRow="1" w:lastColumn="0" w:lastRow="0" w:noHBand="0" w:noVBand="1" w:val="04A0"/>
      </w:tblPr>
      <w:tblGrid>
        <w:gridCol w:w="4680"/>
        <w:gridCol w:w="4680"/>
      </w:tblGrid>
      <w:tr>
        <w:tc>
          <w:tcPr>
            <w:tcW w:type="dxa" w:w="4680"/>
          </w:tcPr>
          <w:p>
            <w:r>
              <w:rPr>
                <w:b/>
                <w:sz w:val="19"/>
              </w:rPr>
              <w:t>TO:</w:t>
            </w:r>
          </w:p>
        </w:tc>
        <w:tc>
          <w:tcPr>
            <w:tcW w:type="dxa" w:w="4680"/>
          </w:tcPr>
          <w:p>
            <w:r>
              <w:t>R. Calloway, Harbormaster</w:t>
            </w:r>
          </w:p>
        </w:tc>
      </w:tr>
      <w:tr>
        <w:tc>
          <w:tcPr>
            <w:tcW w:type="dxa" w:w="4680"/>
          </w:tcPr>
          <w:p>
            <w:r>
              <w:rPr>
                <w:b/>
                <w:sz w:val="19"/>
              </w:rPr>
              <w:t>FROM:</w:t>
            </w:r>
          </w:p>
        </w:tc>
        <w:tc>
          <w:tcPr>
            <w:tcW w:type="dxa" w:w="4680"/>
          </w:tcPr>
          <w:p>
            <w:r>
              <w:t>M. Tenny, Customer Service Lead</w:t>
            </w:r>
          </w:p>
        </w:tc>
      </w:tr>
      <w:tr>
        <w:tc>
          <w:tcPr>
            <w:tcW w:type="dxa" w:w="4680"/>
          </w:tcPr>
          <w:p>
            <w:r>
              <w:rPr>
                <w:b/>
                <w:sz w:val="19"/>
              </w:rPr>
              <w:t>DATE:</w:t>
            </w:r>
          </w:p>
        </w:tc>
        <w:tc>
          <w:tcPr>
            <w:tcW w:type="dxa" w:w="4680"/>
          </w:tcPr>
          <w:p>
            <w:r>
              <w:t>January 9, 2024</w:t>
            </w:r>
          </w:p>
        </w:tc>
      </w:tr>
      <w:tr>
        <w:tc>
          <w:tcPr>
            <w:tcW w:type="dxa" w:w="4680"/>
          </w:tcPr>
          <w:p>
            <w:r>
              <w:rPr>
                <w:b/>
                <w:sz w:val="19"/>
              </w:rPr>
              <w:t>RE:</w:t>
            </w:r>
          </w:p>
        </w:tc>
        <w:tc>
          <w:tcPr>
            <w:tcW w:type="dxa" w:w="4680"/>
          </w:tcPr>
          <w:p>
            <w:r>
              <w:t>Results of the 2023 confirmation mailing and the pending purge</w:t>
            </w:r>
          </w:p>
        </w:tc>
      </w:tr>
    </w:tbl>
    <w:p/>
    <w:p>
      <w:r>
        <w:rPr>
          <w:b w:val="0"/>
          <w:i w:val="0"/>
        </w:rPr>
        <w:t>Purpose. To brief the Harbormaster on the December 2023 confirmation mailing, the response to date, and the purge that will follow the 45-day deadline under Tariff Resolution 2019-14 section 6.</w:t>
      </w:r>
    </w:p>
    <w:p>
      <w:r>
        <w:rPr>
          <w:b w:val="0"/>
          <w:i w:val="0"/>
        </w:rPr>
        <w:t>Mailing. The confirmation mailing went out 4 December 2023 to 2,862 applicants. Each applicant received a one-page confirmation showing position, application date, recorded vessel particulars and preferences, and the $75.00 retention fee due. 211 confirmations were returned undeliverable; customer service has refreshed 148 of those addresses from the renewal responses and phone follow-up.</w:t>
      </w:r>
    </w:p>
    <w:p>
      <w:r>
        <w:rPr>
          <w:b w:val="0"/>
          <w:i w:val="0"/>
        </w:rPr>
        <w:t>Response. As of 8 January 2024, 2,204 renewals are in hand (77%), against 74% at the same point last year. The reminder postcard goes out 19 January. On the current curve we expect roughly 180 applicants to lapse and be purged in February, which is normal for the cycle.</w:t>
      </w:r>
    </w:p>
    <w:p>
      <w:r>
        <w:rPr>
          <w:b w:val="0"/>
          <w:i w:val="0"/>
        </w:rPr>
        <w:t>Purge and reinstatement. Purged applicants receive the removal notice and the 12-month reinstatement window with the $150.00 reinstatement fee. Staff should expect the usual February–March reinstatement traffic at the counter and should remember that reinstatement restores the original application date, which moves the reinstated applicant back up the list.</w:t>
      </w:r>
    </w:p>
    <w:p>
      <w:r>
        <w:rPr>
          <w:b w:val="0"/>
          <w:i w:val="0"/>
        </w:rPr>
        <w:t>Recommendation. No change to the cycle. The only friction point is undeliverable mail; we recommend adding an email confirmation in 2025 for applicants who have one on file.</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E5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E56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E56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