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mallCaps/>
          <w:color w:val="1E5631"/>
          <w:sz w:val="28"/>
        </w:rPr>
        <w:t>LATE FEE WAIVERS — 2023 SUMMARY AND 2024 PRACTICE</w:t>
      </w:r>
    </w:p>
    <w:tbl>
      <w:tblPr>
        <w:tblW w:type="auto" w:w="0"/>
        <w:tblLayout w:type="autofit"/>
        <w:tblLook w:firstColumn="1" w:firstRow="1" w:lastColumn="0" w:lastRow="0" w:noHBand="0" w:noVBand="1" w:val="04A0"/>
      </w:tblPr>
      <w:tblGrid>
        <w:gridCol w:w="4680"/>
        <w:gridCol w:w="4680"/>
      </w:tblGrid>
      <w:tr>
        <w:tc>
          <w:tcPr>
            <w:tcW w:type="dxa" w:w="4680"/>
          </w:tcPr>
          <w:p>
            <w:r>
              <w:rPr>
                <w:b/>
                <w:sz w:val="19"/>
              </w:rPr>
              <w:t>TO:</w:t>
            </w:r>
          </w:p>
        </w:tc>
        <w:tc>
          <w:tcPr>
            <w:tcW w:type="dxa" w:w="4680"/>
          </w:tcPr>
          <w:p>
            <w:r>
              <w:t>Finance Committee</w:t>
            </w:r>
          </w:p>
        </w:tc>
      </w:tr>
      <w:tr>
        <w:tc>
          <w:tcPr>
            <w:tcW w:type="dxa" w:w="4680"/>
          </w:tcPr>
          <w:p>
            <w:r>
              <w:rPr>
                <w:b/>
                <w:sz w:val="19"/>
              </w:rPr>
              <w:t>FROM:</w:t>
            </w:r>
          </w:p>
        </w:tc>
        <w:tc>
          <w:tcPr>
            <w:tcW w:type="dxa" w:w="4680"/>
          </w:tcPr>
          <w:p>
            <w:r>
              <w:t>L. Brasher, Finance Manager</w:t>
            </w:r>
          </w:p>
        </w:tc>
      </w:tr>
      <w:tr>
        <w:tc>
          <w:tcPr>
            <w:tcW w:type="dxa" w:w="4680"/>
          </w:tcPr>
          <w:p>
            <w:r>
              <w:rPr>
                <w:b/>
                <w:sz w:val="19"/>
              </w:rPr>
              <w:t>DATE:</w:t>
            </w:r>
          </w:p>
        </w:tc>
        <w:tc>
          <w:tcPr>
            <w:tcW w:type="dxa" w:w="4680"/>
          </w:tcPr>
          <w:p>
            <w:r>
              <w:t>May 19, 2024</w:t>
            </w:r>
          </w:p>
        </w:tc>
      </w:tr>
      <w:tr>
        <w:tc>
          <w:tcPr>
            <w:tcW w:type="dxa" w:w="4680"/>
          </w:tcPr>
          <w:p>
            <w:r>
              <w:rPr>
                <w:b/>
                <w:sz w:val="19"/>
              </w:rPr>
              <w:t>RE:</w:t>
            </w:r>
          </w:p>
        </w:tc>
        <w:tc>
          <w:tcPr>
            <w:tcW w:type="dxa" w:w="4680"/>
          </w:tcPr>
          <w:p>
            <w:r>
              <w:t>Late fee waivers granted 2023 and recommended 2024 practice</w:t>
            </w:r>
          </w:p>
        </w:tc>
      </w:tr>
    </w:tbl>
    <w:p/>
    <w:p>
      <w:r>
        <w:rPr>
          <w:b w:val="0"/>
          <w:i w:val="0"/>
        </w:rPr>
        <w:t>The tariff sets the late fee at $25.00 or 1.5% of the overdue balance, whichever is greater. In 2023 the billing office assessed 612 late fees totaling $17,904 and waived 74 totaling $2,263, a waiver rate of 12 percent of fees assessed.</w:t>
      </w:r>
    </w:p>
    <w:p>
      <w:r>
        <w:rPr>
          <w:b w:val="0"/>
          <w:i w:val="0"/>
        </w:rPr>
        <w:t>Waiver grounds recorded: documented medical hardship (22), military deployment (4), first occurrence with ten or more years of clean payment history (31), District error (9), and other (8). Waivers for District error included three accounts billed on a stale length after amendments, corrected and credited.</w:t>
      </w:r>
    </w:p>
    <w:p>
      <w:r>
        <w:rPr>
          <w:b w:val="0"/>
          <w:i w:val="0"/>
        </w:rPr>
        <w:t>Recommended practice for 2024: keep the first-occurrence waiver but require the Billing Supervisor's initials on the waiver entry; continue the hardship waiver on documentation; and begin reporting waivers by ground in the quarterly finance report so the Commission can see the pattern rather than the total.</w:t>
      </w:r>
    </w:p>
    <w:sectPr w:rsidR="00FC693F" w:rsidRPr="0006063C" w:rsidSect="00034616">
      <w:pgSz w:w="12240" w:h="15840"/>
      <w:pgMar w:top="129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cs="Consolas" w:eastAsia="Consola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1E563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1E563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1E563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