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mallCaps/>
          <w:color w:val="1E5631"/>
          <w:sz w:val="28"/>
        </w:rPr>
        <w:t>COVERED VS. OPEN RATE CLASS BILLING — MID-YEAR CHECK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  <w:t>TO:</w:t>
            </w:r>
          </w:p>
        </w:tc>
        <w:tc>
          <w:tcPr>
            <w:tcW w:type="dxa" w:w="4680"/>
          </w:tcPr>
          <w:p>
            <w:r>
              <w:t>Harbormaster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FROM:</w:t>
            </w:r>
          </w:p>
        </w:tc>
        <w:tc>
          <w:tcPr>
            <w:tcW w:type="dxa" w:w="4680"/>
          </w:tcPr>
          <w:p>
            <w:r>
              <w:t>L. Brasher, Finance Manager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4680"/>
          </w:tcPr>
          <w:p>
            <w:r>
              <w:t>October 2, 2025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RE:</w:t>
            </w:r>
          </w:p>
        </w:tc>
        <w:tc>
          <w:tcPr>
            <w:tcW w:type="dxa" w:w="4680"/>
          </w:tcPr>
          <w:p>
            <w:r>
              <w:t>Mid-year check on covered vs. open rate class billing ahead of the audit fieldwork close</w:t>
            </w:r>
          </w:p>
        </w:tc>
      </w:tr>
    </w:tbl>
    <w:p/>
    <w:p>
      <w:r>
        <w:rPr>
          <w:b w:val="0"/>
          <w:i w:val="0"/>
        </w:rPr>
        <w:t>This memo summarizes the mid-year billing position for the two rate classes in anticipation of questions from the audit team. Figures are from the September 2025 billing run.</w:t>
      </w:r>
    </w:p>
    <w:p>
      <w:r>
        <w:rPr>
          <w:b w:val="0"/>
          <w:i w:val="0"/>
        </w:rPr>
        <w:t>Covered class (Ledgport and Vessbank, 500 slips, 40-foot limit): 10,312 billing lines year to date, $1,602,415 billed. Open class (Eastwey, Gullwing, Salmonberry, 680 slips): 13,402 lines year to date, $1,487,902 billed. The covered premium ($10.40 vs. $7.55 per foot-month) continues to offset the longer average open length, keeping the revenue split near 52/48 covered.</w:t>
      </w:r>
    </w:p>
    <w:p>
      <w:r>
        <w:rPr>
          <w:b w:val="0"/>
          <w:i w:val="0"/>
        </w:rPr>
        <w:t>Foot-month integrity. The September run was re-priced in full as a check: billable length × months billed × rate in force. No variance over $0.05 was found. The two 2023 billed-length credits described in the annual summary remain the only corrections of their kind in the window.</w:t>
      </w:r>
    </w:p>
    <w:p>
      <w:r>
        <w:rPr>
          <w:b w:val="0"/>
          <w:i w:val="0"/>
        </w:rPr>
        <w:t>One item for awareness: the audit team has asked whether a post-2022 length amendment has ever changed a billed length without support. The answer, from the amendment log review, is no for the 296 supported post-adoption amendments and not applicable for the 402 pre-adoption amendments under section 4.4. The 15 post-adoption rows initially without cross-referenced support were cured in the October file cleanup; see the amendment log review summary.</w:t>
      </w:r>
    </w:p>
    <w:sectPr w:rsidR="00FC693F" w:rsidRPr="0006063C" w:rsidSect="00034616">
      <w:pgSz w:w="12240" w:h="15840"/>
      <w:pgMar w:top="1296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cs="Consolas" w:eastAsia="Consola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1E563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1E563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E563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