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mallCaps/>
          <w:color w:val="1E5631"/>
          <w:sz w:val="28"/>
        </w:rPr>
        <w:t>IS MEMO — BACKUP AND PATCHING POSTURE, HARBOR SYSTEM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TO:</w:t>
            </w:r>
          </w:p>
        </w:tc>
        <w:tc>
          <w:tcPr>
            <w:tcW w:type="dxa" w:w="4680"/>
          </w:tcPr>
          <w:p>
            <w:r>
              <w:t>Harbormaster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FROM:</w:t>
            </w:r>
          </w:p>
        </w:tc>
        <w:tc>
          <w:tcPr>
            <w:tcW w:type="dxa" w:w="4680"/>
          </w:tcPr>
          <w:p>
            <w:r>
              <w:t>S. Quill, Information Systems Administrator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4680"/>
          </w:tcPr>
          <w:p>
            <w:r>
              <w:t>August 14, 2024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RE:</w:t>
            </w:r>
          </w:p>
        </w:tc>
        <w:tc>
          <w:tcPr>
            <w:tcW w:type="dxa" w:w="4680"/>
          </w:tcPr>
          <w:p>
            <w:r>
              <w:t>Backup and patching posture of the harbor system; one action needed</w:t>
            </w:r>
          </w:p>
        </w:tc>
      </w:tr>
    </w:tbl>
    <w:p/>
    <w:p>
      <w:r>
        <w:rPr>
          <w:b w:val="0"/>
          <w:i w:val="0"/>
        </w:rPr>
        <w:t>Backups. The billing and registry database is backed up nightly to the office NAS and weekly to off-site rotation (Friday night, four-week cycle, one set at the clerk's office fire safe). Restore test was run 6 August 2024 against the July weekly set: restore completed in 41 minutes, register control totals (2,102 amendment rows at that date) agreed, billing ledger footed.</w:t>
      </w:r>
    </w:p>
    <w:p>
      <w:r>
        <w:rPr>
          <w:b w:val="0"/>
          <w:i w:val="0"/>
        </w:rPr>
        <w:t>Patching. Office workstations are current. The legacy amendment module (VP-03) is deliberately NOT patched or modified under the migration deferral record; it is isolated to the counter VLAN and cannot reach the internet. That is the accepted risk, recorded in the deferral.</w:t>
      </w:r>
    </w:p>
    <w:p>
      <w:r>
        <w:rPr>
          <w:b w:val="0"/>
          <w:i w:val="0"/>
        </w:rPr>
        <w:t>Action needed. The NAS is at 78 percent. At the current growth of the register and the billing export archives we run out in about eight months. I have quoted a replacement at $4,100; please approve or tell me to re-quote.</w:t>
      </w:r>
    </w:p>
    <w:sectPr w:rsidR="00FC693F" w:rsidRPr="0006063C" w:rsidSect="00034616"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cs="Consolas" w:eastAsia="Consola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1E56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E563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E563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