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mallCaps/>
          <w:color w:val="1E5631"/>
          <w:sz w:val="28"/>
        </w:rPr>
        <w:t>IS MEMO — HB-COUNTER-2 LOGGING AND THE AUDIT</w:t>
      </w:r>
    </w:p>
    <w:tbl>
      <w:tblPr>
        <w:tblW w:type="auto" w:w="0"/>
        <w:tblLayout w:type="autofit"/>
        <w:tblLook w:firstColumn="1" w:firstRow="1" w:lastColumn="0" w:lastRow="0" w:noHBand="0" w:noVBand="1" w:val="04A0"/>
      </w:tblPr>
      <w:tblGrid>
        <w:gridCol w:w="4680"/>
        <w:gridCol w:w="4680"/>
      </w:tblGrid>
      <w:tr>
        <w:tc>
          <w:tcPr>
            <w:tcW w:type="dxa" w:w="4680"/>
          </w:tcPr>
          <w:p>
            <w:r>
              <w:rPr>
                <w:b/>
                <w:sz w:val="19"/>
              </w:rPr>
              <w:t>TO:</w:t>
            </w:r>
          </w:p>
        </w:tc>
        <w:tc>
          <w:tcPr>
            <w:tcW w:type="dxa" w:w="4680"/>
          </w:tcPr>
          <w:p>
            <w:r>
              <w:t>J. Merithew, Audit Liaison</w:t>
            </w:r>
          </w:p>
        </w:tc>
      </w:tr>
      <w:tr>
        <w:tc>
          <w:tcPr>
            <w:tcW w:type="dxa" w:w="4680"/>
          </w:tcPr>
          <w:p>
            <w:r>
              <w:rPr>
                <w:b/>
                <w:sz w:val="19"/>
              </w:rPr>
              <w:t>FROM:</w:t>
            </w:r>
          </w:p>
        </w:tc>
        <w:tc>
          <w:tcPr>
            <w:tcW w:type="dxa" w:w="4680"/>
          </w:tcPr>
          <w:p>
            <w:r>
              <w:t>S. Quill, Information Systems Administrator</w:t>
            </w:r>
          </w:p>
        </w:tc>
      </w:tr>
      <w:tr>
        <w:tc>
          <w:tcPr>
            <w:tcW w:type="dxa" w:w="4680"/>
          </w:tcPr>
          <w:p>
            <w:r>
              <w:rPr>
                <w:b/>
                <w:sz w:val="19"/>
              </w:rPr>
              <w:t>DATE:</w:t>
            </w:r>
          </w:p>
        </w:tc>
        <w:tc>
          <w:tcPr>
            <w:tcW w:type="dxa" w:w="4680"/>
          </w:tcPr>
          <w:p>
            <w:r>
              <w:t>March 20, 2025</w:t>
            </w:r>
          </w:p>
        </w:tc>
      </w:tr>
      <w:tr>
        <w:tc>
          <w:tcPr>
            <w:tcW w:type="dxa" w:w="4680"/>
          </w:tcPr>
          <w:p>
            <w:r>
              <w:rPr>
                <w:b/>
                <w:sz w:val="19"/>
              </w:rPr>
              <w:t>RE:</w:t>
            </w:r>
          </w:p>
        </w:tc>
        <w:tc>
          <w:tcPr>
            <w:tcW w:type="dxa" w:w="4680"/>
          </w:tcPr>
          <w:p>
            <w:r>
              <w:t>What the amendment register can and cannot show — for the audit binder</w:t>
            </w:r>
          </w:p>
        </w:tc>
      </w:tr>
    </w:tbl>
    <w:p/>
    <w:p>
      <w:r>
        <w:rPr>
          <w:b w:val="0"/>
          <w:i w:val="0"/>
        </w:rPr>
        <w:t>You asked for a plain statement of the logging position for the audit binder. Here it is.</w:t>
      </w:r>
    </w:p>
    <w:p>
      <w:r>
        <w:rPr>
          <w:b w:val="0"/>
          <w:i w:val="0"/>
        </w:rPr>
        <w:t>Every vessel particulars amendment row in the register export carries the workstation identifier HB-COUNTER-2 and a timestamp, and nothing else by way of attribution. The amendment screen is the 1998 module (VP-03); it predates the user-level audit trail added to the rest of the system in 2004. Nine staff share the terminal, and the screen permits one concurrent session, so the rows cannot be assigned to individuals from the export.</w:t>
      </w:r>
    </w:p>
    <w:p>
      <w:r>
        <w:rPr>
          <w:b w:val="0"/>
          <w:i w:val="0"/>
        </w:rPr>
        <w:t>The corroborating record is the handwritten counter day log: sessions, times, and initials. The Deputy Harbormaster's monthly review matches the register to the day logs and initials the extract. In the January 2022 to present reconstruction, 46 of 2244 rows fall in day-log gaps and cannot be session-matched; the balance match to a logged session.</w:t>
      </w:r>
    </w:p>
    <w:p>
      <w:r>
        <w:rPr>
          <w:b w:val="0"/>
          <w:i w:val="0"/>
        </w:rPr>
        <w:t>CR-0412 (user-identifier logging) has been open since 2021 and is unfunded; the migration deferral record (CHD-IS-2023-009) is current. The auditor has been given the configuration report, the deferral record, and the access register. Nothing in this memo is new to the file; it is collected here so the binder has it in one place.</w:t>
      </w:r>
    </w:p>
    <w:sectPr w:rsidR="00FC693F" w:rsidRPr="0006063C" w:rsidSect="00034616">
      <w:pgSz w:w="12240" w:h="15840"/>
      <w:pgMar w:top="1296"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nsolas" w:hAnsi="Consolas" w:cs="Consolas" w:eastAsia="Consola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1E563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1E563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1E563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