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mallCaps/>
          <w:color w:val="1E5631"/>
          <w:sz w:val="28"/>
        </w:rPr>
        <w:t>AMENDMENT LOG REVIEW SUMMARY — 2,244 REGISTER ROWS</w:t>
      </w:r>
    </w:p>
    <w:tbl>
      <w:tblPr>
        <w:tblW w:type="auto" w:w="0"/>
        <w:tblLayout w:type="autofit"/>
        <w:tblLook w:firstColumn="1" w:firstRow="1" w:lastColumn="0" w:lastRow="0" w:noHBand="0" w:noVBand="1" w:val="04A0"/>
      </w:tblPr>
      <w:tblGrid>
        <w:gridCol w:w="4680"/>
        <w:gridCol w:w="4680"/>
      </w:tblGrid>
      <w:tr>
        <w:tc>
          <w:tcPr>
            <w:tcW w:type="dxa" w:w="4680"/>
          </w:tcPr>
          <w:p>
            <w:r>
              <w:rPr>
                <w:b/>
                <w:sz w:val="19"/>
              </w:rPr>
              <w:t>TO:</w:t>
            </w:r>
          </w:p>
        </w:tc>
        <w:tc>
          <w:tcPr>
            <w:tcW w:type="dxa" w:w="4680"/>
          </w:tcPr>
          <w:p>
            <w:r>
              <w:t>T. Ellery, Performance Auditor II, State Performance Audit Office</w:t>
            </w:r>
          </w:p>
        </w:tc>
      </w:tr>
      <w:tr>
        <w:tc>
          <w:tcPr>
            <w:tcW w:type="dxa" w:w="4680"/>
          </w:tcPr>
          <w:p>
            <w:r>
              <w:rPr>
                <w:b/>
                <w:sz w:val="19"/>
              </w:rPr>
              <w:t>FROM:</w:t>
            </w:r>
          </w:p>
        </w:tc>
        <w:tc>
          <w:tcPr>
            <w:tcW w:type="dxa" w:w="4680"/>
          </w:tcPr>
          <w:p>
            <w:r>
              <w:t>J. Merithew, Administrative Services Manager / Audit Liaison</w:t>
            </w:r>
          </w:p>
        </w:tc>
      </w:tr>
      <w:tr>
        <w:tc>
          <w:tcPr>
            <w:tcW w:type="dxa" w:w="4680"/>
          </w:tcPr>
          <w:p>
            <w:r>
              <w:rPr>
                <w:b/>
                <w:sz w:val="19"/>
              </w:rPr>
              <w:t>DATE:</w:t>
            </w:r>
          </w:p>
        </w:tc>
        <w:tc>
          <w:tcPr>
            <w:tcW w:type="dxa" w:w="4680"/>
          </w:tcPr>
          <w:p>
            <w:r>
              <w:t>November 21, 2025</w:t>
            </w:r>
          </w:p>
        </w:tc>
      </w:tr>
      <w:tr>
        <w:tc>
          <w:tcPr>
            <w:tcW w:type="dxa" w:w="4680"/>
          </w:tcPr>
          <w:p>
            <w:r>
              <w:rPr>
                <w:b/>
                <w:sz w:val="19"/>
              </w:rPr>
              <w:t>RE:</w:t>
            </w:r>
          </w:p>
        </w:tc>
        <w:tc>
          <w:tcPr>
            <w:tcW w:type="dxa" w:w="4680"/>
          </w:tcPr>
          <w:p>
            <w:r>
              <w:t>Amendment log review — summary of the District's 19-hour review of the 2,244-row vessel particulars register export</w:t>
            </w:r>
          </w:p>
        </w:tc>
      </w:tr>
    </w:tbl>
    <w:p/>
    <w:p>
      <w:pPr>
        <w:pStyle w:val="Heading1"/>
      </w:pPr>
      <w:r>
        <w:rPr>
          <w:smallCaps/>
        </w:rPr>
        <w:t>BACKGROUND</w:t>
      </w:r>
    </w:p>
    <w:p>
      <w:r>
        <w:rPr>
          <w:b w:val="0"/>
          <w:i w:val="0"/>
        </w:rPr>
        <w:t>The vessel particulars register is the system of record for the fields used to administer offers, skips, and billing: vessel name, hull identification number, length overall, beam, draft, tonnage, engine particulars, and owner information. Amendments are keyed at the shared counter terminal HB-COUNTER-2, which is used by nine staff; the register rows record the workstation identifier and a timestamp, but not the individual user, because change request CR-0412 (user-identifier logging) has been open since 2021 and remains unfunded.</w:t>
      </w:r>
    </w:p>
    <w:p>
      <w:pPr>
        <w:pStyle w:val="Heading1"/>
      </w:pPr>
      <w:r>
        <w:rPr>
          <w:smallCaps/>
        </w:rPr>
        <w:t>SCOPE AND METHOD</w:t>
      </w:r>
    </w:p>
    <w:p>
      <w:r>
        <w:rPr>
          <w:b w:val="0"/>
          <w:i w:val="0"/>
        </w:rPr>
        <w:t>The District reviewed the full export of 2244 amendment rows for the period January 2022 through August 2026. The review had three objectives: (1) to confirm the export reproduces the register without truncation or duplication; (2) to classify each row by field amended and by whether the field triggers the measurement-certificate requirement under Resolution 2022-06 section 4.3; and (3) to attribute each row, so far as possible, to a counter session using the day logs. The review consumed 19 staff hours, as reported to the engagement.</w:t>
      </w:r>
    </w:p>
    <w:p>
      <w:r>
        <w:rPr>
          <w:b w:val="0"/>
          <w:i w:val="0"/>
        </w:rPr>
        <w:t>The export was confirmed against the register control totals: 2244 rows, no duplicate amendment identifiers, timestamps within the window, and workstation identifier HB-COUNTER-2 on every row. Of the 2244 rows, 1,067 amend fields that trigger the measurement-certificate requirement (length overall, beam, draft, gross tonnage, net tonnage), of which 713 amend length overall specifically. The remaining 1,177 rows amend non-certificate fields (vessel name, HIN, engine particulars, owner address, and similar).</w:t>
      </w:r>
    </w:p>
    <w:p>
      <w:pPr>
        <w:pStyle w:val="Heading1"/>
      </w:pPr>
      <w:r>
        <w:rPr>
          <w:smallCaps/>
        </w:rPr>
        <w:t>FINDINGS</w:t>
      </w:r>
    </w:p>
    <w:p>
      <w:r>
        <w:rPr>
          <w:b w:val="0"/>
          <w:i w:val="0"/>
        </w:rPr>
        <w:t>1.  Attribution. Because every row carries the same workstation identifier, no row can be attributed to an individual clerk from the export alone. Attribution for the period was reconstructed from the counter day logs: each row's timestamp was matched to the clerk recorded on the day log for that date and time. The reconstruction succeeds for 2,198 of 2244 rows; 46 rows fall in gaps where the day log is illegible or the session is not recorded. The reconstruction is corroborative, not authoritative, and the District does not rely on it for the response.</w:t>
      </w:r>
    </w:p>
    <w:p>
      <w:r>
        <w:rPr>
          <w:b w:val="0"/>
          <w:i w:val="0"/>
        </w:rPr>
        <w:t>2.  Timing. Length amendments cluster in the weeks in which slips are worked: 58 percent of length amendments fall within 14 days of an offer event for the applicant, which is expected — applicants update particulars when contact resumes. The cluster is not itself an exception; the question section 4.3 asks is whether the amendment was supported when entered, not when it was used.</w:t>
      </w:r>
    </w:p>
    <w:p>
      <w:r>
        <w:rPr>
          <w:b w:val="0"/>
          <w:i w:val="0"/>
        </w:rPr>
        <w:t>3.  Pre- and post-adoption split. Of the 713 length amendments, 402 were entered before 1 August 2022 (pre-adoption of Resolution 2022-06) and 311 on or after. Of the 311 post-adoption amendments, 296 have a certificate or haul-out record on file; the remaining 15 were reviewed individually and are addressed in the response. The Foldview Marine Services haul-out measurement sheet dated 2025-06-29 for applicant WL-03102 is an example of the supporting record the post-adoption files contain.</w:t>
      </w:r>
    </w:p>
    <w:p>
      <w:r>
        <w:rPr>
          <w:b w:val="0"/>
          <w:i w:val="0"/>
        </w:rPr>
        <w:t>4.  Data quality. Defects observed are characteristic of hand-keyed counter entry: occasional transposed digits in hull identification numbers corrected by a later row, blank source-document fields on non-certificate rows, and two rows keyed twice with the second row reversing the first. None of the defects affects the register's arithmetic; all are listed in the exception detail accompanying this summary.</w:t>
      </w:r>
    </w:p>
    <w:p>
      <w:pPr>
        <w:pStyle w:val="Heading1"/>
      </w:pPr>
      <w:r>
        <w:rPr>
          <w:smallCaps/>
        </w:rPr>
        <w:t>FIELD-BY-FIELD BREAKDOWN</w:t>
      </w:r>
    </w:p>
    <w:p>
      <w:r>
        <w:rPr>
          <w:b w:val="0"/>
          <w:i w:val="0"/>
        </w:rPr>
        <w:t>The 2244 rows distribute across the register's fields as follows. Certificate-triggering fields (length overall, beam, draft, gross tonnage, net tonnage) account for 1,067 rows, of which length overall alone is 713. Non-certificate fields account for 1,177 rows: vessel name 288, owner address 244, engine make or horsepower 231, hull identification number 122, official number 96, hull material 71, year built 48, build location 31, vessel type 26, propulsion type 20. The preponderance of length rows is expected: length is the field that drives qualification for covered slips (the 40-foot limit), the slip-size match, and the foot-month charge.</w:t>
      </w:r>
    </w:p>
    <w:p>
      <w:r>
        <w:rPr>
          <w:b w:val="0"/>
          <w:i w:val="0"/>
        </w:rPr>
        <w:t>Of the 713 length amendments, 204 move the recorded length across a boundary that matters: 96 cross the 40-foot covered limit in either direction, 71 cross a posted slip-size class, and 37 cross both. Those 204 rows received individual file review in the exception process; the 88 scheduled items are drawn from them and from the auditor's own screening.</w:t>
      </w:r>
    </w:p>
    <w:p>
      <w:pPr>
        <w:pStyle w:val="Heading1"/>
      </w:pPr>
      <w:r>
        <w:rPr>
          <w:smallCaps/>
        </w:rPr>
        <w:t>ATTRIBUTION RECONSTRUCTION DETAIL</w:t>
      </w:r>
    </w:p>
    <w:p>
      <w:r>
        <w:rPr>
          <w:b w:val="0"/>
          <w:i w:val="0"/>
        </w:rPr>
        <w:t>The day-log reconstruction proceeded session by session. The counter works in recorded sessions (opening, relief, closing entries), and amendments cluster in sessions because the amendment screen permits one concurrent session. For each register row, the timestamp was matched to the session open at that time on that date; the clerk of record for the session is the probable keyer. Of 2244 rows, 2,198 match a logged session; 46 fall in gaps — 31 on two storm days in 2024 when the day log page is water-marked and partly illegible, 11 in a single Saturday session in 2023 whose closing entry is missing, and 4 scattered. The reconstruction file accompanies this summary; it is corroborative work product, and the District does not tender it as the register of record.</w:t>
      </w:r>
    </w:p>
    <w:p>
      <w:r>
        <w:rPr>
          <w:b w:val="0"/>
          <w:i w:val="0"/>
        </w:rPr>
        <w:t>Distribution of the 2,198 matched rows across the nine counter staff is consistent with seniority and counter hours and shows no concentration that would suggest a single outlier practice. The Deputy Harbormaster's monthly review extracts for the window were re-checked against this reconstruction and agree with it.</w:t>
      </w:r>
    </w:p>
    <w:p>
      <w:pPr>
        <w:pStyle w:val="Heading1"/>
      </w:pPr>
      <w:r>
        <w:rPr>
          <w:smallCaps/>
        </w:rPr>
        <w:t>SESSION-LOG CORRELATION EXAMPLES</w:t>
      </w:r>
    </w:p>
    <w:p>
      <w:r>
        <w:rPr>
          <w:b w:val="0"/>
          <w:i w:val="0"/>
        </w:rPr>
        <w:t>Three rows illustrate the reconstruction. Row for WL-02401 (length, 2024-09-05 10:15): the day log for that date records clerk PC keying the amendment in the morning session, with the measurement certificate MC-2024-0091 named in the same entry — the register, the log, and the certificate all cross-reference. Row for WL-02155 (vessel name, 2023-04-18 11:10): the day log shows clerk RD keying the change and records a struck correction entry two minutes later; the register shows the reversal row and the corrected row, exactly as the log describes. Row for WL-02988 (hull identification number, 2025-03-14 10:20): the log shows clerk PC correcting transposed digits reported by the owner from the annual confirmation; the register's old and new values differ in exactly the two digits the log describes.</w:t>
      </w:r>
    </w:p>
    <w:p>
      <w:pPr>
        <w:pStyle w:val="Heading1"/>
      </w:pPr>
      <w:r>
        <w:rPr>
          <w:smallCaps/>
        </w:rPr>
        <w:t>LIMITATIONS</w:t>
      </w:r>
    </w:p>
    <w:p>
      <w:r>
        <w:rPr>
          <w:b w:val="0"/>
          <w:i w:val="0"/>
        </w:rPr>
        <w:t>This review establishes what the register contains and when; it cannot, and does not purport to, establish who keyed any particular row, because the register itself carries only the workstation identifier. Where the District needs attribution, the counter day logs are the corroborating record, and the reconstruction described here is the bridge. The definitive remedy is CR-0412, which is now recommended for funding in the 2027 budget.</w:t>
      </w:r>
    </w:p>
    <w:p>
      <w:pPr>
        <w:pStyle w:val="Heading1"/>
      </w:pPr>
      <w:r>
        <w:rPr>
          <w:smallCaps/>
        </w:rPr>
        <w:t>RECOMMENDATIONS</w:t>
      </w:r>
    </w:p>
    <w:p>
      <w:pPr>
        <w:pStyle w:val="ListNumber"/>
      </w:pPr>
      <w:r>
        <w:t>Fund CR-0412 (user-identifier logging) at the next budget; the deferral record already carries the scoping.</w:t>
      </w:r>
    </w:p>
    <w:p>
      <w:pPr>
        <w:pStyle w:val="ListNumber"/>
      </w:pPr>
      <w:r>
        <w:t>Until then, require the clerk keying a certificate-triggering amendment to note the certificate or haul-out sheet by identifier in the day log entry, so the paper trail crosses from the register to the log in both directions.</w:t>
      </w:r>
    </w:p>
    <w:p>
      <w:pPr>
        <w:pStyle w:val="ListNumber"/>
      </w:pPr>
      <w:r>
        <w:t>Add the source-document identifier to the quarterly archive label so a fixed copy carries its own cross-references.</w:t>
      </w:r>
    </w:p>
    <w:p>
      <w:pPr>
        <w:pStyle w:val="Heading1"/>
      </w:pPr>
      <w:r>
        <w:rPr>
          <w:smallCaps/>
        </w:rPr>
        <w:t>CONCLUSION</w:t>
      </w:r>
    </w:p>
    <w:p>
      <w:r>
        <w:rPr>
          <w:b w:val="0"/>
          <w:i w:val="0"/>
        </w:rPr>
        <w:t>The export is complete and accurate as an extract. The register's single limitation — workstation-level logging at HB-COUNTER-2 — is a systems issue with an open, unfunded change request (CR-0412, since 2021), not a finding of noncompliance with the documentation standard. The District's response to the exception schedule addresses the 88 scheduled amendment items individually.</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cs="Consolas" w:eastAsia="Consola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E563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E563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E563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