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mallCaps/>
          <w:color w:val="1E5631"/>
          <w:sz w:val="28"/>
        </w:rPr>
        <w:t>BRIEFING NOTE — OFFER PROCESS QUESTIONS FROM APPLICANTS</w:t>
      </w:r>
    </w:p>
    <w:tbl>
      <w:tblPr>
        <w:tblW w:type="auto" w:w="0"/>
        <w:tblLayout w:type="autofit"/>
        <w:tblLook w:firstColumn="1" w:firstRow="1" w:lastColumn="0" w:lastRow="0" w:noHBand="0" w:noVBand="1" w:val="04A0"/>
      </w:tblPr>
      <w:tblGrid>
        <w:gridCol w:w="4680"/>
        <w:gridCol w:w="4680"/>
      </w:tblGrid>
      <w:tr>
        <w:tc>
          <w:tcPr>
            <w:tcW w:type="dxa" w:w="4680"/>
          </w:tcPr>
          <w:p>
            <w:r>
              <w:rPr>
                <w:b/>
                <w:sz w:val="19"/>
              </w:rPr>
              <w:t>TO:</w:t>
            </w:r>
          </w:p>
        </w:tc>
        <w:tc>
          <w:tcPr>
            <w:tcW w:type="dxa" w:w="4680"/>
          </w:tcPr>
          <w:p>
            <w:r>
              <w:t>R. Calloway, Harbormaster</w:t>
            </w:r>
          </w:p>
        </w:tc>
      </w:tr>
      <w:tr>
        <w:tc>
          <w:tcPr>
            <w:tcW w:type="dxa" w:w="4680"/>
          </w:tcPr>
          <w:p>
            <w:r>
              <w:rPr>
                <w:b/>
                <w:sz w:val="19"/>
              </w:rPr>
              <w:t>FROM:</w:t>
            </w:r>
          </w:p>
        </w:tc>
        <w:tc>
          <w:tcPr>
            <w:tcW w:type="dxa" w:w="4680"/>
          </w:tcPr>
          <w:p>
            <w:r>
              <w:t>M. Tenny, Customer Service Lead</w:t>
            </w:r>
          </w:p>
        </w:tc>
      </w:tr>
      <w:tr>
        <w:tc>
          <w:tcPr>
            <w:tcW w:type="dxa" w:w="4680"/>
          </w:tcPr>
          <w:p>
            <w:r>
              <w:rPr>
                <w:b/>
                <w:sz w:val="19"/>
              </w:rPr>
              <w:t>DATE:</w:t>
            </w:r>
          </w:p>
        </w:tc>
        <w:tc>
          <w:tcPr>
            <w:tcW w:type="dxa" w:w="4680"/>
          </w:tcPr>
          <w:p>
            <w:r>
              <w:t>June 30, 2025</w:t>
            </w:r>
          </w:p>
        </w:tc>
      </w:tr>
      <w:tr>
        <w:tc>
          <w:tcPr>
            <w:tcW w:type="dxa" w:w="4680"/>
          </w:tcPr>
          <w:p>
            <w:r>
              <w:rPr>
                <w:b/>
                <w:sz w:val="19"/>
              </w:rPr>
              <w:t>RE:</w:t>
            </w:r>
          </w:p>
        </w:tc>
        <w:tc>
          <w:tcPr>
            <w:tcW w:type="dxa" w:w="4680"/>
          </w:tcPr>
          <w:p>
            <w:r>
              <w:t>Recurring applicant questions about offers and skips, with suggested counter language</w:t>
            </w:r>
          </w:p>
        </w:tc>
      </w:tr>
    </w:tbl>
    <w:p/>
    <w:p>
      <w:r>
        <w:rPr>
          <w:b w:val="0"/>
          <w:i w:val="0"/>
        </w:rPr>
        <w:t>Purpose. With the audit team interviewing counter staff, this note collects the questions applicants ask most about offers and skips and the answers we give, so that answers stay consistent across the nine people who work the counter.</w:t>
      </w:r>
    </w:p>
    <w:p>
      <w:r>
        <w:rPr>
          <w:b w:val="0"/>
          <w:i w:val="0"/>
        </w:rPr>
        <w:t>“Why was I skipped?”  A skip is not a penalty and does not move an applicant down the list. It means we could not make a bona fide offer for that particular slip. The four reasons are the Schedule C codes: vessel-fit (the vessel of record does not fit the vacancy), not-current (fees, insurance, or registration not current), declined-prior-offer (a prior offer was declined or expired), and preference-mismatch (the vacancy does not match recorded preferences). The applicant may ask to see the skip justification file, which we keep for every skip.</w:t>
      </w:r>
    </w:p>
    <w:p>
      <w:r>
        <w:rPr>
          <w:b w:val="0"/>
          <w:i w:val="0"/>
        </w:rPr>
        <w:t>“How long do I have to answer an offer?”  Ten calendar days for a covered slip (Ledgport or Vessbank) and fourteen for an open slip, from the date of the offer letter. A phone call does not hold the offer open; the acceptance must be in writing or in person.</w:t>
      </w:r>
    </w:p>
    <w:p>
      <w:r>
        <w:rPr>
          <w:b w:val="0"/>
          <w:i w:val="0"/>
        </w:rPr>
        <w:t>“If I change my boat, what happens?”  The particulars of record change at the counter, and the change can affect which slips match. Since Resolution 2022-06, a change to the recorded length must be backed by a measurement certificate or a haul-out record before we use the new length to qualify or disqualify the applicant. Foldview Marine Services can haul and measure; the district also measures at check-in.</w:t>
      </w:r>
    </w:p>
    <w:p>
      <w:r>
        <w:rPr>
          <w:b w:val="0"/>
          <w:i w:val="0"/>
        </w:rPr>
        <w:t>“Does declining an offer hurt my position?”  The first decline holds position. A second decline moves the applicant to the bottom of the list unless the applicant moves to the retainer list and pays the retainer fee, which preserves the original application date.</w:t>
      </w:r>
    </w:p>
    <w:sectPr w:rsidR="00FC693F" w:rsidRPr="0006063C"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cs="Consolas" w:eastAsia="Consola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E563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1E563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1E563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