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smallCaps/>
          <w:color w:val="1E5631"/>
          <w:sz w:val="28"/>
        </w:rPr>
        <w:t>BRIEFING NOTE — WAITING-LIST COMPLAINT PATTERNS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  <w:sz w:val="19"/>
              </w:rPr>
              <w:t>TO:</w:t>
            </w:r>
          </w:p>
        </w:tc>
        <w:tc>
          <w:tcPr>
            <w:tcW w:type="dxa" w:w="4680"/>
          </w:tcPr>
          <w:p>
            <w:r>
              <w:t>R. Calloway, Harbormaster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19"/>
              </w:rPr>
              <w:t>FROM:</w:t>
            </w:r>
          </w:p>
        </w:tc>
        <w:tc>
          <w:tcPr>
            <w:tcW w:type="dxa" w:w="4680"/>
          </w:tcPr>
          <w:p>
            <w:r>
              <w:t>M. Tenny, Customer Service Lead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19"/>
              </w:rPr>
              <w:t>DATE:</w:t>
            </w:r>
          </w:p>
        </w:tc>
        <w:tc>
          <w:tcPr>
            <w:tcW w:type="dxa" w:w="4680"/>
          </w:tcPr>
          <w:p>
            <w:r>
              <w:t>February 18, 2026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19"/>
              </w:rPr>
              <w:t>RE:</w:t>
            </w:r>
          </w:p>
        </w:tc>
        <w:tc>
          <w:tcPr>
            <w:tcW w:type="dxa" w:w="4680"/>
          </w:tcPr>
          <w:p>
            <w:r>
              <w:t>What the complaint log shows about waiting-list friction, in light of the pending audit report</w:t>
            </w:r>
          </w:p>
        </w:tc>
      </w:tr>
    </w:tbl>
    <w:p/>
    <w:p>
      <w:r>
        <w:rPr>
          <w:b w:val="0"/>
          <w:i w:val="0"/>
        </w:rPr>
        <w:t>Purpose. The complaint log for January 2022 through January 2026 contains 4,180 entries. This note breaks out the waiting-list and offer-process complaints so the Harbormaster can anticipate questions when the audit report is published.</w:t>
      </w:r>
    </w:p>
    <w:p>
      <w:r>
        <w:rPr>
          <w:b w:val="0"/>
          <w:i w:val="0"/>
        </w:rPr>
        <w:t>Volume. Waiting-list process complaints run about 9 percent of the log (roughly 375 entries over four years), and offer-process complaints about 4 percent. The largest single category overall is noise (about 14 percent), followed by slip or dock condition.</w:t>
      </w:r>
    </w:p>
    <w:p>
      <w:r>
        <w:rPr>
          <w:b w:val="0"/>
          <w:i w:val="0"/>
        </w:rPr>
        <w:t>Pattern. Waiting-list complaints cluster in February and March, after the purge, and in the weeks following any local news coverage of the list. The substance is usually rank (“someone was offered a slip ahead of me”), which the counter answers by walking the applicant through the register printout and the skip file. Since the audit began, a second theme has appeared: applicants asking whether a past skip was “one of the ones the state is looking at.” Staff answer that the audit covers the process generally and that any applicant may inspect their own file.</w:t>
      </w:r>
    </w:p>
    <w:p>
      <w:r>
        <w:rPr>
          <w:b w:val="0"/>
          <w:i w:val="0"/>
        </w:rPr>
        <w:t>Practice point. When a complaint mentions a specific offer or skip, open the skip justification file while the applicant is at the counter. The file either answers the question or tells us we have a documentation gap to fix — either way the complaint is better handled with the file in hand than from memory.</w:t>
      </w:r>
    </w:p>
    <w:sectPr w:rsidR="00FC693F" w:rsidRPr="0006063C" w:rsidSect="00034616">
      <w:pgSz w:w="12240" w:h="15840"/>
      <w:pgMar w:top="1296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onsolas" w:hAnsi="Consolas" w:cs="Consolas" w:eastAsia="Consola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1E563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1E5631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1E563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