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Noto Sans" w:hAnsi="Noto Sans"/>
          <w:b/>
          <w:color w:val="167D88"/>
          <w:sz w:val="18"/>
        </w:rPr>
        <w:t>BOARD MEMORANDUM</w:t>
      </w:r>
    </w:p>
    <w:p>
      <w:pPr>
        <w:pStyle w:val="Title"/>
        <w:spacing w:after="60"/>
      </w:pPr>
      <w:r>
        <w:t>Moorage controls require Board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792"/>
            <w:vAlign w:val="center"/>
            <w:shd w:fill="EAF2F7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17324D"/>
                <w:sz w:val="17"/>
              </w:rPr>
              <w:t>TO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324D"/>
                <w:sz w:val="17"/>
              </w:rPr>
              <w:t>Ginny Marina, Administrator</w:t>
            </w:r>
          </w:p>
        </w:tc>
        <w:tc>
          <w:tcPr>
            <w:tcW w:type="dxa" w:w="1080"/>
            <w:vAlign w:val="center"/>
            <w:shd w:fill="EAF2F7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17324D"/>
                <w:sz w:val="17"/>
              </w:rPr>
              <w:t>DATE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324D"/>
                <w:sz w:val="17"/>
              </w:rPr>
              <w:t>1 August 2026</w:t>
            </w:r>
          </w:p>
        </w:tc>
      </w:tr>
      <w:tr>
        <w:tc>
          <w:tcPr>
            <w:tcW w:type="dxa" w:w="792"/>
            <w:vAlign w:val="center"/>
            <w:shd w:fill="EAF2F7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17324D"/>
                <w:sz w:val="17"/>
              </w:rPr>
              <w:t>FROM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324D"/>
                <w:sz w:val="17"/>
              </w:rPr>
              <w:t>Moorage Counter Clerk</w:t>
            </w:r>
          </w:p>
        </w:tc>
        <w:tc>
          <w:tcPr>
            <w:tcW w:type="dxa" w:w="1080"/>
            <w:vAlign w:val="center"/>
            <w:shd w:fill="EAF2F7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17324D"/>
                <w:sz w:val="17"/>
              </w:rPr>
              <w:t>SUBJECT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324D"/>
                <w:sz w:val="17"/>
              </w:rPr>
              <w:t>Queue, rates and receivables audit</w:t>
            </w:r>
          </w:p>
        </w:tc>
      </w:tr>
    </w:tbl>
    <w:p>
      <w:pPr>
        <w:pStyle w:val="Heading1"/>
      </w:pPr>
      <w:r>
        <w:t>Purpose and conclusion</w:t>
      </w:r>
    </w:p>
    <w:p>
      <w:r>
        <w:rPr>
          <w:b/>
        </w:rPr>
        <w:t xml:space="preserve">Purpose. </w:t>
      </w:r>
      <w:r>
        <w:t>This memo transmits the formula-driven workbook chaldale_moorage_audit_2026-08.xlsx and asks the Board to protect rank order, resolve covered-slip eligibility conflicts, and require complete billing and aging extracts. The audit uses the Board's earliest-application priority and tests the record as it existed when each slip was worked.</w:t>
      </w:r>
    </w:p>
    <w:p>
      <w:r>
        <w:rPr>
          <w:b/>
        </w:rPr>
        <w:t xml:space="preserve">Conclusion. </w:t>
      </w:r>
      <w:r>
        <w:t>The supplied records identify 173 skip events with at least one exception among 309 events reviewed and 228 active covered-slip eligibility conflicts. No posted-charge variance was found in the 769 evidenced August billings. The July ledger identifies 6 represented active accounts with $4,368.00 more than 90 days old, but the billing and aging populations are incomplete.</w:t>
      </w:r>
    </w:p>
    <w:p>
      <w:pPr>
        <w:pStyle w:val="Heading1"/>
      </w:pPr>
      <w:r>
        <w:t>Findings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008"/>
            <w:vAlign w:val="center"/>
            <w:shd w:fill="17324D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944"/>
            <w:vAlign w:val="center"/>
            <w:shd w:fill="17324D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FFFFFF"/>
                <w:sz w:val="17"/>
              </w:rPr>
              <w:t>Population</w:t>
            </w:r>
          </w:p>
        </w:tc>
        <w:tc>
          <w:tcPr>
            <w:tcW w:type="dxa" w:w="3312"/>
            <w:vAlign w:val="center"/>
            <w:shd w:fill="17324D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FFFFFF"/>
                <w:sz w:val="17"/>
              </w:rPr>
              <w:t>Confirmed result</w:t>
            </w:r>
          </w:p>
        </w:tc>
        <w:tc>
          <w:tcPr>
            <w:tcW w:type="dxa" w:w="3816"/>
            <w:vAlign w:val="center"/>
            <w:shd w:fill="17324D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FFFFFF"/>
                <w:sz w:val="17"/>
              </w:rPr>
              <w:t>Board significance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Queue</w:t>
            </w:r>
          </w:p>
        </w:tc>
        <w:tc>
          <w:tcPr>
            <w:tcW w:type="dxa" w:w="1944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309 skips</w:t>
            </w:r>
          </w:p>
        </w:tc>
        <w:tc>
          <w:tcPr>
            <w:tcW w:type="dxa" w:w="3312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173 exception events</w:t>
            </w:r>
          </w:p>
        </w:tc>
        <w:tc>
          <w:tcPr>
            <w:tcW w:type="dxa" w:w="3816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Rank-order departures require a contemporaneous record</w:t>
            </w:r>
          </w:p>
        </w:tc>
      </w:tr>
      <w:tr>
        <w:tc>
          <w:tcPr>
            <w:tcW w:type="dxa" w:w="1008"/>
            <w:vAlign w:val="center"/>
            <w:shd w:fill="F4F7F9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Billing</w:t>
            </w:r>
          </w:p>
        </w:tc>
        <w:tc>
          <w:tcPr>
            <w:tcW w:type="dxa" w:w="1944"/>
            <w:vAlign w:val="center"/>
            <w:shd w:fill="F4F7F9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1,086 active slips</w:t>
            </w:r>
          </w:p>
        </w:tc>
        <w:tc>
          <w:tcPr>
            <w:tcW w:type="dxa" w:w="3312"/>
            <w:vAlign w:val="center"/>
            <w:shd w:fill="F4F7F9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$0.00 variance; 228 eligibility conflicts</w:t>
            </w:r>
          </w:p>
        </w:tc>
        <w:tc>
          <w:tcPr>
            <w:tcW w:type="dxa" w:w="3816"/>
            <w:vAlign w:val="center"/>
            <w:shd w:fill="F4F7F9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40 feet is an eligibility limit, not a billing cap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Aging</w:t>
            </w:r>
          </w:p>
        </w:tc>
        <w:tc>
          <w:tcPr>
            <w:tcW w:type="dxa" w:w="1944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260 represented accounts</w:t>
            </w:r>
          </w:p>
        </w:tc>
        <w:tc>
          <w:tcPr>
            <w:tcW w:type="dxa" w:w="3312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6 accounts; $4,368.00 &gt;90 days</w:t>
            </w:r>
          </w:p>
        </w:tc>
        <w:tc>
          <w:tcPr>
            <w:tcW w:type="dxa" w:w="3816"/>
            <w:vAlign w:val="center"/>
            <w:shd w:fill="FFFFFF"/>
            <w:tcBorders>
              <w:bottom w:val="single" w:sz="4" w:color="E4E7EC"/>
            </w:tcBorders>
          </w:tcPr>
          <w:p>
            <w:pPr>
              <w:spacing w:after="0"/>
            </w:pPr>
            <w:r>
              <w:rPr>
                <w:rFonts w:ascii="Noto Sans" w:hAnsi="Noto Sans"/>
                <w:b w:val="0"/>
                <w:color w:val="17202A"/>
                <w:sz w:val="17"/>
              </w:rPr>
              <w:t>826 active slips are absent from the ledger</w:t>
            </w:r>
          </w:p>
        </w:tc>
      </w:tr>
    </w:tbl>
    <w:p>
      <w:pPr>
        <w:pStyle w:val="Heading1"/>
      </w:pPr>
      <w:r>
        <w:t>Queue and eligibility</w:t>
      </w:r>
    </w:p>
    <w:p>
      <w:r>
        <w:rPr>
          <w:b/>
        </w:rPr>
        <w:t xml:space="preserve">Basis. </w:t>
      </w:r>
      <w:r>
        <w:t>Tariff Resolution 2019-14 ss.3.1 and 4.1 require earliest-first rank order. Standing Order 15-3 ss.3.2-3.3 requires the cover sheet and reason-specific support on the worked date. Appeal 2018-3, pp.2-3, puts the burden on the District and rejects after-the-fact proof. For declined-prior-offer testing, this audit treats covered/open as the slip class because that is the class field shared by the supplied records.</w:t>
      </w:r>
    </w:p>
    <w:p>
      <w:pPr>
        <w:pStyle w:val="ListBullet"/>
        <w:spacing w:after="60"/>
        <w:ind w:left="259" w:hanging="173"/>
      </w:pPr>
      <w:r>
        <w:rPr>
          <w:b/>
        </w:rPr>
        <w:t>Priority chronology:</w:t>
      </w:r>
      <w:r>
        <w:t xml:space="preserve"> 124 skips predate the applicant's application date in applicant_register_2026-08.csv.</w:t>
      </w:r>
    </w:p>
    <w:p>
      <w:pPr>
        <w:pStyle w:val="ListBullet"/>
        <w:spacing w:after="60"/>
        <w:ind w:left="259" w:hanging="173"/>
      </w:pPr>
      <w:r>
        <w:rPr>
          <w:b/>
        </w:rPr>
        <w:t>Contemporaneous proof:</w:t>
      </w:r>
      <w:r>
        <w:t xml:space="preserve"> 19 skip rows say the support is not attached; three in-period PDFs end at the cover sheet.</w:t>
      </w:r>
    </w:p>
    <w:p>
      <w:pPr>
        <w:pStyle w:val="ListBullet"/>
        <w:spacing w:after="60"/>
        <w:ind w:left="259" w:hanging="173"/>
      </w:pPr>
      <w:r>
        <w:rPr>
          <w:b/>
        </w:rPr>
        <w:t>Prior-offer basis:</w:t>
      </w:r>
      <w:r>
        <w:t xml:space="preserve"> 48 declined-prior-offer skips have no earlier same-class declined or expired offer in offer_events_2022_2026.csv.</w:t>
      </w:r>
    </w:p>
    <w:p>
      <w:pPr>
        <w:pStyle w:val="ListBullet"/>
        <w:spacing w:after="60"/>
        <w:ind w:left="259" w:hanging="173"/>
      </w:pPr>
      <w:r>
        <w:rPr>
          <w:b/>
        </w:rPr>
        <w:t>Record integrity:</w:t>
      </w:r>
      <w:r>
        <w:t xml:space="preserve"> 5 physical-file/offer-link conflicts and 14 in-force amendment values that do not reconcile to the August register.</w:t>
      </w:r>
    </w:p>
    <w:p>
      <w:pPr>
        <w:pStyle w:val="ListBullet"/>
        <w:spacing w:after="60"/>
        <w:ind w:left="259" w:hanging="173"/>
      </w:pPr>
      <w:r>
        <w:rPr>
          <w:b/>
        </w:rPr>
        <w:t>Length-source test:</w:t>
      </w:r>
      <w:r>
        <w:t xml:space="preserve"> 0 in-force post-adoption LOA amendments lack a named accepted source in amendment_log_2022_2026.csv. The source names pass; the certificates referenced by those event-date entries were not supplied for independent signature review.</w:t>
      </w:r>
    </w:p>
    <w:p>
      <w:r>
        <w:br w:type="page"/>
      </w:r>
    </w:p>
    <w:p>
      <w:pPr>
        <w:pStyle w:val="Heading1"/>
      </w:pPr>
      <w:r>
        <w:t>Billing and receivables</w:t>
      </w:r>
    </w:p>
    <w:p>
      <w:r>
        <w:rPr>
          <w:b/>
        </w:rPr>
        <w:t xml:space="preserve">Rate basis. </w:t>
      </w:r>
      <w:r>
        <w:t>Resolution 2022-06 ss.1-2 governs from 1 August 2022: $10.40 per foot-month covered and $7.55 open. Tariff Resolution 2019-14 definition 4 and s.2.4 use the greater of rounded check-in LOA or nominal slip length; Resolution 2022-06 s.1.1 retains the 40-foot covered limit. Variance is posted minus expected, before tax.</w:t>
      </w:r>
    </w:p>
    <w:p>
      <w:pPr>
        <w:pStyle w:val="ListBullet"/>
        <w:spacing w:after="60"/>
        <w:ind w:left="259" w:hanging="173"/>
      </w:pPr>
      <w:r>
        <w:rPr>
          <w:b/>
        </w:rPr>
        <w:t>Confirmed postings:</w:t>
      </w:r>
      <w:r>
        <w:t xml:space="preserve"> All 769 evidenced August postings reconcile to billable feet times the adopted basin rate; confirmed monthly variance is $0.00. The 228 covered rows above 40 billable feet are eligibility conflicts, not billing variances.</w:t>
      </w:r>
    </w:p>
    <w:p>
      <w:pPr>
        <w:pStyle w:val="ListBullet"/>
        <w:spacing w:after="60"/>
        <w:ind w:left="259" w:hanging="173"/>
      </w:pPr>
      <w:r>
        <w:rPr>
          <w:b/>
        </w:rPr>
        <w:t>Missing export rows:</w:t>
      </w:r>
      <w:r>
        <w:t xml:space="preserve"> No August posting appears for 317 active slips. Their expected monthly charge is $120,158.25; the export therefore cannot establish their actual variance. The workbook shows an apparent all-active export gap of -$120,158.25 only as a completeness control.</w:t>
      </w:r>
    </w:p>
    <w:p>
      <w:pPr>
        <w:pStyle w:val="ListBullet"/>
        <w:spacing w:after="60"/>
        <w:ind w:left="259" w:hanging="173"/>
      </w:pPr>
      <w:r>
        <w:rPr>
          <w:b/>
        </w:rPr>
        <w:t>Certificates:</w:t>
      </w:r>
      <w:r>
        <w:t xml:space="preserve"> Measurement certificates MC-2024-0062 (WL-01893) and MC-2024-0091 (WL-02401) apply to no current active tenant in slip_inventory_2026-08.csv, so neither measurement overrides an active reconciliation row.</w:t>
      </w:r>
    </w:p>
    <w:p>
      <w:pPr>
        <w:pStyle w:val="ListBullet"/>
        <w:spacing w:after="60"/>
        <w:ind w:left="259" w:hanging="173"/>
      </w:pPr>
      <w:r>
        <w:rPr>
          <w:b/>
        </w:rPr>
        <w:t>Aging:</w:t>
      </w:r>
      <w:r>
        <w:t xml:space="preserve"> The July ledger identifies 6 represented active accounts with $4,368.00 more than 90 days old and $13,166.40 total due. Its Summary sheet lists 260 accounts against 1,086 active slips; 826 are outside the extract.</w:t>
      </w:r>
    </w:p>
    <w:p>
      <w:pPr>
        <w:pStyle w:val="Heading1"/>
      </w:pPr>
      <w:r>
        <w:t>Actions requested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2376"/>
        <w:gridCol w:w="7200"/>
      </w:tblGrid>
      <w:tr>
        <w:tc>
          <w:tcPr>
            <w:tcW w:type="dxa" w:w="504"/>
            <w:shd w:fill="167D88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1</w:t>
            </w:r>
          </w:p>
        </w:tc>
        <w:tc>
          <w:tcPr>
            <w:tcW w:type="dxa" w:w="2376"/>
            <w:shd w:fill="E7F3F3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b/>
                <w:color w:val="17324D"/>
                <w:sz w:val="17"/>
              </w:rPr>
              <w:t>Queue hold and Board review</w:t>
            </w:r>
          </w:p>
        </w:tc>
        <w:tc>
          <w:tcPr>
            <w:tcW w:type="dxa" w:w="7200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sz w:val="17"/>
              </w:rPr>
              <w:t>Preserve the five conflicting physical files, retrieve the controlling day-log page and reason-specific support for flagged skips, and refer voiding/remedy decisions to the Board. Appeal 2018-3 leaves completed good-faith assignments in place and provides prospective rank relief.</w:t>
            </w:r>
          </w:p>
        </w:tc>
      </w:tr>
      <w:tr>
        <w:tc>
          <w:tcPr>
            <w:tcW w:type="dxa" w:w="504"/>
            <w:shd w:fill="167D88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2</w:t>
            </w:r>
          </w:p>
        </w:tc>
        <w:tc>
          <w:tcPr>
            <w:tcW w:type="dxa" w:w="2376"/>
            <w:shd w:fill="E7F3F3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b/>
                <w:color w:val="17324D"/>
                <w:sz w:val="17"/>
              </w:rPr>
              <w:t>Review covered eligibility</w:t>
            </w:r>
          </w:p>
        </w:tc>
        <w:tc>
          <w:tcPr>
            <w:tcW w:type="dxa" w:w="7200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sz w:val="17"/>
              </w:rPr>
              <w:t>Verify the check-in record and placement authority for the 228 active covered vessels above 40 billable feet, then bring assignments into compliance. Do not issue credits: the tariff bills actual billable length and the confirmed charge variance is $0.00.</w:t>
            </w:r>
          </w:p>
        </w:tc>
      </w:tr>
      <w:tr>
        <w:tc>
          <w:tcPr>
            <w:tcW w:type="dxa" w:w="504"/>
            <w:shd w:fill="167D88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3</w:t>
            </w:r>
          </w:p>
        </w:tc>
        <w:tc>
          <w:tcPr>
            <w:tcW w:type="dxa" w:w="2376"/>
            <w:shd w:fill="E7F3F3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b/>
                <w:color w:val="17324D"/>
                <w:sz w:val="17"/>
              </w:rPr>
              <w:t>Complete the populations</w:t>
            </w:r>
          </w:p>
        </w:tc>
        <w:tc>
          <w:tcPr>
            <w:tcW w:type="dxa" w:w="7200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sz w:val="17"/>
              </w:rPr>
              <w:t>Produce a complete August recurring-charge export and a district-wide July 31 aging ledger. Re-run the formulas before booking any underbilling or certifying that all delinquent active slips were found.</w:t>
            </w:r>
          </w:p>
        </w:tc>
      </w:tr>
      <w:tr>
        <w:tc>
          <w:tcPr>
            <w:tcW w:type="dxa" w:w="504"/>
            <w:shd w:fill="167D88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Noto Sans" w:hAnsi="Noto Sans"/>
                <w:b/>
                <w:color w:val="FFFFFF"/>
                <w:sz w:val="18"/>
              </w:rPr>
              <w:t>4</w:t>
            </w:r>
          </w:p>
        </w:tc>
        <w:tc>
          <w:tcPr>
            <w:tcW w:type="dxa" w:w="2376"/>
            <w:shd w:fill="E7F3F3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b/>
                <w:color w:val="17324D"/>
                <w:sz w:val="17"/>
              </w:rPr>
              <w:t>Tighten counter controls</w:t>
            </w:r>
          </w:p>
        </w:tc>
        <w:tc>
          <w:tcPr>
            <w:tcW w:type="dxa" w:w="7200"/>
            <w:tcBorders>
              <w:bottom w:val="single" w:sz="4" w:color="E4E7EC"/>
            </w:tcBorders>
            <w:vAlign w:val="top"/>
          </w:tcPr>
          <w:p>
            <w:pPr>
              <w:spacing w:after="40" w:before="40"/>
            </w:pPr>
            <w:r>
              <w:rPr>
                <w:rFonts w:ascii="Noto Sans" w:hAnsi="Noto Sans"/>
                <w:sz w:val="17"/>
              </w:rPr>
              <w:t>Require the reason-specific attachment and offer ID before a skip can post; validate application date against worked date; and reconcile each post-adoption LOA amendment to its signed certificate or yard sheet and current register value.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 xml:space="preserve">Recommended motion: </w:t>
      </w:r>
      <w:r>
        <w:t>Accept the audit for administrative review; direct the Administrator to preserve and complete the queue record, resolve the covered-slip eligibility conflicts, complete the billing and aging populations, and return within 30 days with a remediation schedule and any applicant-specific relief requiring Board action.</w:t>
      </w:r>
    </w:p>
    <w:p>
      <w:pPr>
        <w:pStyle w:val="Heading1"/>
      </w:pPr>
      <w:r>
        <w:t>Sources</w:t>
      </w:r>
    </w:p>
    <w:p>
      <w:pPr>
        <w:spacing w:after="0"/>
      </w:pPr>
      <w:r>
        <w:rPr>
          <w:color w:val="667085"/>
          <w:sz w:val="15"/>
        </w:rPr>
        <w:t>Tariff Resolution 2019-14, pp.1-3; Resolution 2022-06, pp.1-3; Standing Order 15-3, p.1; Appeal 2018-3, pp.2-3; applicant_register_2026-08.csv; offer_events_2022_2026.csv; skip_events_2022_2026.csv; amendment_log_2022_2026.csv; five in-period skip-justification PDFs; slip_inventory_2026-08.csv; billing_transactions_2022_2026.csv; ar_aging_2026-07-31.xlsx, AR_Aging and Summary; measurement certificates MC-2024-0062 and MC-2024-0091. Workbook source-reference columns identify row-level locations.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979" w:bottom="720" w:left="97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67D88"/>
        <w:sz w:val="16"/>
      </w:rPr>
      <w:t>CHALDALE HARBOR DISTRICT  |  BOARD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Noto Sans" w:hAnsi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" w:hAnsi="Noto San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Chaldale Moorage Audit - Board Memorandum</dc:title>
  <dc:subject>Queue, billing and aging controls as of 1 August 2026</dc:subject>
  <dc:creator>Chaldale Harbor District - Moorage Counter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