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pPr>
      <w:r>
        <w:rPr>
          <w:rFonts w:ascii="Noto Sans" w:hAnsi="Noto Sans"/>
          <w:b/>
          <w:color w:val="17324D"/>
          <w:sz w:val="40"/>
        </w:rPr>
        <w:t>MOORAGE CONTROL AUDIT</w:t>
      </w:r>
    </w:p>
    <w:p>
      <w:pPr>
        <w:spacing w:after="140"/>
      </w:pPr>
      <w:r>
        <w:rPr>
          <w:rFonts w:ascii="Noto Sans" w:hAnsi="Noto Sans"/>
          <w:b/>
          <w:color w:val="1F7A8C"/>
          <w:sz w:val="20"/>
        </w:rPr>
        <w:t>Decision memorandum</w:t>
      </w:r>
    </w:p>
    <w:tbl>
      <w:tblPr>
        <w:tblW w:type="auto" w:w="0"/>
        <w:jc w:val="left"/>
        <w:tblLayout w:type="fixed"/>
        <w:tblLook w:firstColumn="1" w:firstRow="1" w:lastColumn="0" w:lastRow="0" w:noHBand="0" w:noVBand="1" w:val="04A0"/>
      </w:tblPr>
      <w:tblGrid>
        <w:gridCol w:w="1440"/>
        <w:gridCol w:w="8640"/>
      </w:tblGrid>
      <w:tr>
        <w:tc>
          <w:tcPr>
            <w:tcW w:type="dxa" w:w="5083"/>
            <w:shd w:fill="EAF3F6"/>
            <w:tcMar>
              <w:top w:w="38" w:type="dxa"/>
              <w:start w:w="65" w:type="dxa"/>
              <w:bottom w:w="38" w:type="dxa"/>
              <w:end w:w="65" w:type="dxa"/>
            </w:tcMar>
            <w:vAlign w:val="center"/>
            <w:tcBorders>
              <w:bottom w:val="single" w:sz="5" w:color="D8DEE2"/>
            </w:tcBorders>
          </w:tcPr>
          <w:p>
            <w:pPr>
              <w:spacing w:after="0"/>
            </w:pPr>
            <w:r>
              <w:rPr>
                <w:rFonts w:ascii="Noto Sans" w:hAnsi="Noto Sans"/>
                <w:b/>
                <w:color w:val="1F7A8C"/>
                <w:sz w:val="17"/>
              </w:rPr>
              <w:t>TO</w:t>
            </w:r>
          </w:p>
        </w:tc>
        <w:tc>
          <w:tcPr>
            <w:tcW w:type="dxa" w:w="5083"/>
            <w:tcMar>
              <w:top w:w="38" w:type="dxa"/>
              <w:start w:w="65" w:type="dxa"/>
              <w:bottom w:w="38" w:type="dxa"/>
              <w:end w:w="65" w:type="dxa"/>
            </w:tcMar>
            <w:vAlign w:val="center"/>
            <w:tcBorders>
              <w:bottom w:val="single" w:sz="5" w:color="D8DEE2"/>
            </w:tcBorders>
          </w:tcPr>
          <w:p>
            <w:pPr>
              <w:spacing w:after="0"/>
            </w:pPr>
            <w:r>
              <w:rPr>
                <w:rFonts w:ascii="Noto Sans" w:hAnsi="Noto Sans"/>
                <w:color w:val="17324D"/>
                <w:sz w:val="17"/>
              </w:rPr>
              <w:t>Board of Harbor Commissioners</w:t>
            </w:r>
          </w:p>
        </w:tc>
      </w:tr>
      <w:tr>
        <w:tc>
          <w:tcPr>
            <w:tcW w:type="dxa" w:w="5083"/>
            <w:shd w:fill="EAF3F6"/>
            <w:tcMar>
              <w:top w:w="38" w:type="dxa"/>
              <w:start w:w="65" w:type="dxa"/>
              <w:bottom w:w="38" w:type="dxa"/>
              <w:end w:w="65" w:type="dxa"/>
            </w:tcMar>
            <w:vAlign w:val="center"/>
            <w:tcBorders>
              <w:bottom w:val="single" w:sz="5" w:color="D8DEE2"/>
            </w:tcBorders>
          </w:tcPr>
          <w:p>
            <w:pPr>
              <w:spacing w:after="0"/>
            </w:pPr>
            <w:r>
              <w:rPr>
                <w:rFonts w:ascii="Noto Sans" w:hAnsi="Noto Sans"/>
                <w:b/>
                <w:color w:val="1F7A8C"/>
                <w:sz w:val="17"/>
              </w:rPr>
              <w:t>THROUGH</w:t>
            </w:r>
          </w:p>
        </w:tc>
        <w:tc>
          <w:tcPr>
            <w:tcW w:type="dxa" w:w="5083"/>
            <w:tcMar>
              <w:top w:w="38" w:type="dxa"/>
              <w:start w:w="65" w:type="dxa"/>
              <w:bottom w:w="38" w:type="dxa"/>
              <w:end w:w="65" w:type="dxa"/>
            </w:tcMar>
            <w:vAlign w:val="center"/>
            <w:tcBorders>
              <w:bottom w:val="single" w:sz="5" w:color="D8DEE2"/>
            </w:tcBorders>
          </w:tcPr>
          <w:p>
            <w:pPr>
              <w:spacing w:after="0"/>
            </w:pPr>
            <w:r>
              <w:rPr>
                <w:rFonts w:ascii="Noto Sans" w:hAnsi="Noto Sans"/>
                <w:color w:val="17324D"/>
                <w:sz w:val="17"/>
              </w:rPr>
              <w:t>Ginny Marina, Administrator</w:t>
            </w:r>
          </w:p>
        </w:tc>
      </w:tr>
      <w:tr>
        <w:tc>
          <w:tcPr>
            <w:tcW w:type="dxa" w:w="5083"/>
            <w:shd w:fill="EAF3F6"/>
            <w:tcMar>
              <w:top w:w="38" w:type="dxa"/>
              <w:start w:w="65" w:type="dxa"/>
              <w:bottom w:w="38" w:type="dxa"/>
              <w:end w:w="65" w:type="dxa"/>
            </w:tcMar>
            <w:vAlign w:val="center"/>
            <w:tcBorders>
              <w:bottom w:val="single" w:sz="5" w:color="D8DEE2"/>
            </w:tcBorders>
          </w:tcPr>
          <w:p>
            <w:pPr>
              <w:spacing w:after="0"/>
            </w:pPr>
            <w:r>
              <w:rPr>
                <w:rFonts w:ascii="Noto Sans" w:hAnsi="Noto Sans"/>
                <w:b/>
                <w:color w:val="1F7A8C"/>
                <w:sz w:val="17"/>
              </w:rPr>
              <w:t>FROM</w:t>
            </w:r>
          </w:p>
        </w:tc>
        <w:tc>
          <w:tcPr>
            <w:tcW w:type="dxa" w:w="5083"/>
            <w:tcMar>
              <w:top w:w="38" w:type="dxa"/>
              <w:start w:w="65" w:type="dxa"/>
              <w:bottom w:w="38" w:type="dxa"/>
              <w:end w:w="65" w:type="dxa"/>
            </w:tcMar>
            <w:vAlign w:val="center"/>
            <w:tcBorders>
              <w:bottom w:val="single" w:sz="5" w:color="D8DEE2"/>
            </w:tcBorders>
          </w:tcPr>
          <w:p>
            <w:pPr>
              <w:spacing w:after="0"/>
            </w:pPr>
            <w:r>
              <w:rPr>
                <w:rFonts w:ascii="Noto Sans" w:hAnsi="Noto Sans"/>
                <w:color w:val="17324D"/>
                <w:sz w:val="17"/>
              </w:rPr>
              <w:t>Moorage Counter Clerk</w:t>
            </w:r>
          </w:p>
        </w:tc>
      </w:tr>
      <w:tr>
        <w:tc>
          <w:tcPr>
            <w:tcW w:type="dxa" w:w="5083"/>
            <w:shd w:fill="EAF3F6"/>
            <w:tcMar>
              <w:top w:w="38" w:type="dxa"/>
              <w:start w:w="65" w:type="dxa"/>
              <w:bottom w:w="38" w:type="dxa"/>
              <w:end w:w="65" w:type="dxa"/>
            </w:tcMar>
            <w:vAlign w:val="center"/>
            <w:tcBorders>
              <w:bottom w:val="single" w:sz="5" w:color="D8DEE2"/>
            </w:tcBorders>
          </w:tcPr>
          <w:p>
            <w:pPr>
              <w:spacing w:after="0"/>
            </w:pPr>
            <w:r>
              <w:rPr>
                <w:rFonts w:ascii="Noto Sans" w:hAnsi="Noto Sans"/>
                <w:b/>
                <w:color w:val="1F7A8C"/>
                <w:sz w:val="17"/>
              </w:rPr>
              <w:t>DATE</w:t>
            </w:r>
          </w:p>
        </w:tc>
        <w:tc>
          <w:tcPr>
            <w:tcW w:type="dxa" w:w="5083"/>
            <w:tcMar>
              <w:top w:w="38" w:type="dxa"/>
              <w:start w:w="65" w:type="dxa"/>
              <w:bottom w:w="38" w:type="dxa"/>
              <w:end w:w="65" w:type="dxa"/>
            </w:tcMar>
            <w:vAlign w:val="center"/>
            <w:tcBorders>
              <w:bottom w:val="single" w:sz="5" w:color="D8DEE2"/>
            </w:tcBorders>
          </w:tcPr>
          <w:p>
            <w:pPr>
              <w:spacing w:after="0"/>
            </w:pPr>
            <w:r>
              <w:rPr>
                <w:rFonts w:ascii="Noto Sans" w:hAnsi="Noto Sans"/>
                <w:color w:val="17324D"/>
                <w:sz w:val="17"/>
              </w:rPr>
              <w:t>August 1, 2026</w:t>
            </w:r>
          </w:p>
        </w:tc>
      </w:tr>
      <w:tr>
        <w:tc>
          <w:tcPr>
            <w:tcW w:type="dxa" w:w="5083"/>
            <w:shd w:fill="EAF3F6"/>
            <w:tcMar>
              <w:top w:w="38" w:type="dxa"/>
              <w:start w:w="65" w:type="dxa"/>
              <w:bottom w:w="38" w:type="dxa"/>
              <w:end w:w="65" w:type="dxa"/>
            </w:tcMar>
            <w:vAlign w:val="center"/>
            <w:tcBorders>
              <w:bottom w:val="single" w:sz="5" w:color="D8DEE2"/>
            </w:tcBorders>
          </w:tcPr>
          <w:p>
            <w:pPr>
              <w:spacing w:after="0"/>
            </w:pPr>
            <w:r>
              <w:rPr>
                <w:rFonts w:ascii="Noto Sans" w:hAnsi="Noto Sans"/>
                <w:b/>
                <w:color w:val="1F7A8C"/>
                <w:sz w:val="17"/>
              </w:rPr>
              <w:t>SUBJECT</w:t>
            </w:r>
          </w:p>
        </w:tc>
        <w:tc>
          <w:tcPr>
            <w:tcW w:type="dxa" w:w="5083"/>
            <w:tcMar>
              <w:top w:w="38" w:type="dxa"/>
              <w:start w:w="65" w:type="dxa"/>
              <w:bottom w:w="38" w:type="dxa"/>
              <w:end w:w="65" w:type="dxa"/>
            </w:tcMar>
            <w:vAlign w:val="center"/>
            <w:tcBorders>
              <w:bottom w:val="single" w:sz="5" w:color="D8DEE2"/>
            </w:tcBorders>
          </w:tcPr>
          <w:p>
            <w:pPr>
              <w:spacing w:after="0"/>
            </w:pPr>
            <w:r>
              <w:rPr>
                <w:rFonts w:ascii="Noto Sans" w:hAnsi="Noto Sans"/>
                <w:color w:val="17324D"/>
                <w:sz w:val="17"/>
              </w:rPr>
              <w:t>Waiting-list skips, active-slip billing, and receivables aging</w:t>
            </w:r>
          </w:p>
        </w:tc>
      </w:tr>
    </w:tbl>
    <w:p>
      <w:pPr>
        <w:pStyle w:val="Heading1"/>
        <w:keepNext/>
      </w:pPr>
      <w:r>
        <w:t>Decision Requested</w:t>
      </w:r>
    </w:p>
    <w:p>
      <w:r>
        <w:rPr>
          <w:b/>
        </w:rPr>
        <w:t xml:space="preserve">Approve a three-part corrective program: </w:t>
      </w:r>
      <w:r>
        <w:t>preserve rank-order remedies while staff validates skip files, restore complete August billing after agreement and measurement review, and place the six active accounts over 90 days into administrator-supervised collection review.</w:t>
      </w:r>
    </w:p>
    <w:tbl>
      <w:tblPr>
        <w:tblW w:type="auto" w:w="0"/>
        <w:jc w:val="center"/>
        <w:tblLayout w:type="fixed"/>
        <w:tblLook w:firstColumn="1" w:firstRow="1" w:lastColumn="0" w:lastRow="0" w:noHBand="0" w:noVBand="1" w:val="04A0"/>
      </w:tblPr>
      <w:tblGrid>
        <w:gridCol w:w="3389"/>
        <w:gridCol w:w="3389"/>
        <w:gridCol w:w="3389"/>
      </w:tblGrid>
      <w:tr>
        <w:tc>
          <w:tcPr>
            <w:tcW w:type="dxa" w:w="3283"/>
            <w:shd w:fill="EAF3F6"/>
            <w:tcMar>
              <w:top w:w="90" w:type="dxa"/>
              <w:start w:w="95" w:type="dxa"/>
              <w:bottom w:w="90" w:type="dxa"/>
              <w:end w:w="95" w:type="dxa"/>
            </w:tcMar>
          </w:tcPr>
          <w:p>
            <w:pPr>
              <w:spacing w:after="20"/>
              <w:jc w:val="center"/>
            </w:pPr>
            <w:r>
              <w:rPr>
                <w:rFonts w:ascii="Noto Sans" w:hAnsi="Noto Sans"/>
                <w:b/>
                <w:color w:val="1F7A8C"/>
                <w:sz w:val="16"/>
              </w:rPr>
              <w:t>QUEUE</w:t>
            </w:r>
          </w:p>
          <w:p>
            <w:pPr>
              <w:spacing w:after="20"/>
              <w:jc w:val="center"/>
            </w:pPr>
            <w:r>
              <w:rPr>
                <w:rFonts w:ascii="Noto Sans" w:hAnsi="Noto Sans"/>
                <w:b/>
                <w:color w:val="17324D"/>
                <w:sz w:val="36"/>
              </w:rPr>
              <w:t>309</w:t>
            </w:r>
          </w:p>
          <w:p>
            <w:pPr>
              <w:spacing w:after="0"/>
              <w:jc w:val="center"/>
            </w:pPr>
            <w:r>
              <w:rPr>
                <w:rFonts w:ascii="Noto Sans" w:hAnsi="Noto Sans"/>
                <w:color w:val="5E6B75"/>
                <w:sz w:val="15"/>
              </w:rPr>
              <w:t>registered skips not demonstrated by matching proof</w:t>
            </w:r>
          </w:p>
        </w:tc>
        <w:tc>
          <w:tcPr>
            <w:tcW w:type="dxa" w:w="3283"/>
            <w:shd w:fill="FBF4E3"/>
            <w:tcMar>
              <w:top w:w="90" w:type="dxa"/>
              <w:start w:w="95" w:type="dxa"/>
              <w:bottom w:w="90" w:type="dxa"/>
              <w:end w:w="95" w:type="dxa"/>
            </w:tcMar>
          </w:tcPr>
          <w:p>
            <w:pPr>
              <w:spacing w:after="20"/>
              <w:jc w:val="center"/>
            </w:pPr>
            <w:r>
              <w:rPr>
                <w:rFonts w:ascii="Noto Sans" w:hAnsi="Noto Sans"/>
                <w:b/>
                <w:color w:val="1F7A8C"/>
                <w:sz w:val="16"/>
              </w:rPr>
              <w:t>BILLING</w:t>
            </w:r>
          </w:p>
          <w:p>
            <w:pPr>
              <w:spacing w:after="20"/>
              <w:jc w:val="center"/>
            </w:pPr>
            <w:r>
              <w:rPr>
                <w:rFonts w:ascii="Noto Sans" w:hAnsi="Noto Sans"/>
                <w:b/>
                <w:color w:val="17324D"/>
                <w:sz w:val="36"/>
              </w:rPr>
              <w:t>317</w:t>
            </w:r>
          </w:p>
          <w:p>
            <w:pPr>
              <w:spacing w:after="0"/>
              <w:jc w:val="center"/>
            </w:pPr>
            <w:r>
              <w:rPr>
                <w:rFonts w:ascii="Noto Sans" w:hAnsi="Noto Sans"/>
                <w:color w:val="5E6B75"/>
                <w:sz w:val="15"/>
              </w:rPr>
              <w:t>occupied slips with no August moorage bill</w:t>
            </w:r>
          </w:p>
        </w:tc>
        <w:tc>
          <w:tcPr>
            <w:tcW w:type="dxa" w:w="3283"/>
            <w:shd w:fill="EAF3F6"/>
            <w:tcMar>
              <w:top w:w="90" w:type="dxa"/>
              <w:start w:w="95" w:type="dxa"/>
              <w:bottom w:w="90" w:type="dxa"/>
              <w:end w:w="95" w:type="dxa"/>
            </w:tcMar>
          </w:tcPr>
          <w:p>
            <w:pPr>
              <w:spacing w:after="20"/>
              <w:jc w:val="center"/>
            </w:pPr>
            <w:r>
              <w:rPr>
                <w:rFonts w:ascii="Noto Sans" w:hAnsi="Noto Sans"/>
                <w:b/>
                <w:color w:val="1F7A8C"/>
                <w:sz w:val="16"/>
              </w:rPr>
              <w:t>AGING</w:t>
            </w:r>
          </w:p>
          <w:p>
            <w:pPr>
              <w:spacing w:after="20"/>
              <w:jc w:val="center"/>
            </w:pPr>
            <w:r>
              <w:rPr>
                <w:rFonts w:ascii="Noto Sans" w:hAnsi="Noto Sans"/>
                <w:b/>
                <w:color w:val="17324D"/>
                <w:sz w:val="36"/>
              </w:rPr>
              <w:t>6</w:t>
            </w:r>
          </w:p>
          <w:p>
            <w:pPr>
              <w:spacing w:after="0"/>
              <w:jc w:val="center"/>
            </w:pPr>
            <w:r>
              <w:rPr>
                <w:rFonts w:ascii="Noto Sans" w:hAnsi="Noto Sans"/>
                <w:color w:val="5E6B75"/>
                <w:sz w:val="15"/>
              </w:rPr>
              <w:t>active accounts carrying balances over 90 days</w:t>
            </w:r>
          </w:p>
        </w:tc>
      </w:tr>
    </w:tbl>
    <w:p>
      <w:pPr>
        <w:pStyle w:val="Heading1"/>
        <w:keepNext/>
      </w:pPr>
      <w:r>
        <w:t>Findings</w:t>
      </w:r>
    </w:p>
    <w:p>
      <w:r>
        <w:rPr>
          <w:b/>
        </w:rPr>
        <w:t xml:space="preserve">1. Waiting-list integrity. </w:t>
      </w:r>
      <w:r>
        <w:t>The inclusive 2023-01-01 to 2026-07-31 population is 309 skips: 120 vessel-fit + 79 not-current + 57 preference-mismatch + 53 declined-prior-offer = 309. Of these, 19 are explicitly marked with no attachment, 288 attachment descriptors do not identify the exact record required by Standing Order 15-3 section 3.3, and 2 supplied files support a different slip than the registered event. The result means the provided evidence does not carry the District's burden; it does not prove that every unidentified underlying file is absent.</w:t>
      </w:r>
    </w:p>
    <w:p>
      <w:r>
        <w:rPr>
          <w:b/>
        </w:rPr>
        <w:t xml:space="preserve">2. Length amendments. </w:t>
      </w:r>
      <w:r>
        <w:t>No in-scope skip was found to rely on a post-August 1, 2022 LOA amendment lacking a qualifying measurement-certificate or yard-sheet cross-reference. This category has zero exceptions under Resolution 2022-06 section 4.3.</w:t>
      </w:r>
    </w:p>
    <w:p>
      <w:r>
        <w:rPr>
          <w:b/>
        </w:rPr>
        <w:t xml:space="preserve">3. Billing completeness. </w:t>
      </w:r>
      <w:r>
        <w:t>The August inventory contains 1,086 occupied slips. The billing export contains 769 August 1 monthly moorage charges, all of which recalculate without rate, length, or amount error. The remaining 317 occupied slips have no August monthly charge. Using MAX(rounded-up inventory LOA, nominal slip feet) x the adopted basin rate, the provisional monthly underbilling is $120,158.25 before tax.</w:t>
      </w:r>
    </w:p>
    <w:p>
      <w:r>
        <w:rPr>
          <w:b/>
        </w:rPr>
        <w:t xml:space="preserve">4. Collections. </w:t>
      </w:r>
      <w:r>
        <w:t>Six active Ledgport accounts have balances over 90 days. The balance is $4,368.00 in the 91-120 and 120+ buckets ($2,932.80 + $1,435.20), against $13,166.40 total due across all buckets for those accounts.</w:t>
      </w:r>
    </w:p>
    <w:p>
      <w:r>
        <w:br w:type="page"/>
      </w:r>
    </w:p>
    <w:p>
      <w:pPr>
        <w:pStyle w:val="Heading1"/>
        <w:keepNext/>
      </w:pPr>
      <w:r>
        <w:t>Recommended Board Direction</w:t>
      </w:r>
    </w:p>
    <w:p>
      <w:pPr>
        <w:pStyle w:val="ListBullet"/>
        <w:spacing w:after="50"/>
        <w:ind w:left="259" w:hanging="173"/>
      </w:pPr>
      <w:r>
        <w:rPr>
          <w:rFonts w:ascii="Noto Sans" w:hAnsi="Noto Sans"/>
          <w:sz w:val="18"/>
        </w:rPr>
        <w:t>Direct the Administrator to preserve the current event exports and pull the contemporaneous file for each queue exception before deciding an individual remedy. Apply Appeal 2018-3: a skip stands or falls on the record existing when the slip was worked, and completed assignments need not be unwound while prospective rank relief is considered.</w:t>
      </w:r>
    </w:p>
    <w:p>
      <w:pPr>
        <w:pStyle w:val="ListBullet"/>
        <w:spacing w:after="50"/>
        <w:ind w:left="259" w:hanging="173"/>
      </w:pPr>
      <w:r>
        <w:rPr>
          <w:rFonts w:ascii="Noto Sans" w:hAnsi="Noto Sans"/>
          <w:sz w:val="18"/>
        </w:rPr>
        <w:t>Suspend reliance on the five special event rows until the missing offer IDs and slip conflicts are reconciled to the counter day log. Require future skip metadata to name the actual vessel-particulars printout, deficiency extract, prior offer date/slip, or preference sheet.</w:t>
      </w:r>
    </w:p>
    <w:p>
      <w:pPr>
        <w:pStyle w:val="ListBullet"/>
        <w:spacing w:after="50"/>
        <w:ind w:left="259" w:hanging="173"/>
      </w:pPr>
      <w:r>
        <w:rPr>
          <w:rFonts w:ascii="Noto Sans" w:hAnsi="Noto Sans"/>
          <w:sz w:val="18"/>
        </w:rPr>
        <w:t>Validate the 317 unbilled occupancies against current agreements and check-in certificates, then post corrections prospectively or as counsel directs. Do not post the $120,158.25 estimate automatically; it uses inventory LOA because the supplied certificates do not identify current tenants.</w:t>
      </w:r>
    </w:p>
    <w:p>
      <w:pPr>
        <w:pStyle w:val="ListBullet"/>
        <w:spacing w:after="50"/>
        <w:ind w:left="259" w:hanging="173"/>
      </w:pPr>
      <w:r>
        <w:rPr>
          <w:rFonts w:ascii="Noto Sans" w:hAnsi="Noto Sans"/>
          <w:sz w:val="18"/>
        </w:rPr>
        <w:t>Require collection-status review for the six accounts in the Aging tab, with documented payment-plan, notice, or enforcement disposition.</w:t>
      </w:r>
    </w:p>
    <w:p>
      <w:pPr>
        <w:pStyle w:val="Heading1"/>
        <w:keepNext/>
      </w:pPr>
      <w:r>
        <w:t>Authority and Arithmetic</w:t>
      </w:r>
    </w:p>
    <w:p>
      <w:r>
        <w:rPr>
          <w:b/>
        </w:rPr>
        <w:t xml:space="preserve">Queue standard. </w:t>
      </w:r>
      <w:r>
        <w:t>Standing Order 15-3 sections 3.2-3.3 requires the same-day file to contain both the cover sheet and the reason-specific supporting record. Tariff Resolution 2019-14 Schedule C-3 and C-4 requires the skip register and justification file. Appeal 2018-3, pages 2-3, governs the burden and contemporaneous timing because it is the Board's interpretation of rank-order departures; a bare reason code or later reconstruction is insufficient.</w:t>
      </w:r>
    </w:p>
    <w:p>
      <w:r>
        <w:rPr>
          <w:b/>
        </w:rPr>
        <w:t xml:space="preserve">Length standard. </w:t>
      </w:r>
      <w:r>
        <w:t>Resolution 2022-06 sections 4.3 and 6.2 requires a signed District/surveyor certificate or yard haul-out measurement sheet at entry and a register cross-reference. Section 7.2 makes the 2022 resolution controlling over conflicting prior provisions. The amendment log, rather than the August 2026 applicant snapshot, governs historical amendment dates.</w:t>
      </w:r>
    </w:p>
    <w:p>
      <w:r>
        <w:rPr>
          <w:b/>
        </w:rPr>
        <w:t xml:space="preserve">Billing standard. </w:t>
      </w:r>
      <w:r>
        <w:t>Tariff Resolution 2019-14 sections 1(4), 2.4 and 7.3 sets billable feet as the greater of check-in LOA rounded up or nominal slip length. Resolution 2022-06 sections 1.1-1.3 sets $10.40 per foot-month for covered Ledgport/Vessbank and $7.55 for open Eastwey/Gullwing/Salmonberry, effective for periods beginning August 1, 2022. The workbook variance is expected monthly moorage less posted monthly moorage, before tax.</w:t>
      </w:r>
    </w:p>
    <w:p>
      <w:pPr>
        <w:pStyle w:val="Heading1"/>
        <w:keepNext/>
      </w:pPr>
      <w:r>
        <w:t>Evidence Limits and Reconciliation Conflicts</w:t>
      </w:r>
    </w:p>
    <w:p>
      <w:r>
        <w:rPr>
          <w:b/>
        </w:rPr>
        <w:t xml:space="preserve">Queue files. </w:t>
      </w:r>
      <w:r>
        <w:t>The five in-period special rows in skip_events_2022_2026.csv use OFR-*-1487 identifiers that do not appear in offer_events_2022_2026.csv. Each supplied PDF names a different slip from its corresponding special event row. The event register defines the population, but support for another slip cannot prove that registered event. The counter day log, required by Standing Order 15-3 section 1.1, would settle which slip was actually worked; it was not supplied.</w:t>
      </w:r>
    </w:p>
    <w:p>
      <w:r>
        <w:rPr>
          <w:b/>
        </w:rPr>
        <w:t xml:space="preserve">Measurement files. </w:t>
      </w:r>
      <w:r>
        <w:t>MC-2024-0062 is for WL-01893 at VB-0208, but slip_inventory_2026-08.csv lists WL-03499 as the current VB-0208 tenant. MC-2024-0091 is for WL-02401, who is not a current occupied tenant in that inventory. Consequently neither certificate can be transferred to a current billing account. The inventory-based omission estimate is actionable for validation, not final customer posting.</w:t>
      </w:r>
    </w:p>
    <w:p>
      <w:r>
        <w:rPr>
          <w:b/>
        </w:rPr>
        <w:t xml:space="preserve">Aging source. </w:t>
      </w:r>
      <w:r>
        <w:t>ar_aging_2026-07-31.xlsx, AR_Aging rows 23, 68, 113, 116, 147 and 158, supplies the six account balances; the source Summary sheet defines the 91-120 and 120+ labels. slip_inventory_2026-08.csv confirms all six slips are occupied.</w:t>
      </w:r>
    </w:p>
    <w:tbl>
      <w:tblPr>
        <w:tblW w:type="auto" w:w="0"/>
        <w:jc w:val="center"/>
        <w:tblLook w:firstColumn="1" w:firstRow="1" w:lastColumn="0" w:lastRow="0" w:noHBand="0" w:noVBand="1" w:val="04A0"/>
      </w:tblPr>
      <w:tblGrid>
        <w:gridCol w:w="10166"/>
      </w:tblGrid>
      <w:tr>
        <w:tc>
          <w:tcPr>
            <w:tcW w:type="dxa" w:w="10166"/>
            <w:shd w:fill="FBF4E3"/>
            <w:tcMar>
              <w:top w:w="75" w:type="dxa"/>
              <w:start w:w="90" w:type="dxa"/>
              <w:bottom w:w="75" w:type="dxa"/>
              <w:end w:w="90" w:type="dxa"/>
            </w:tcMar>
          </w:tcPr>
          <w:p>
            <w:pPr>
              <w:spacing w:after="0"/>
            </w:pPr>
            <w:r>
              <w:rPr>
                <w:rFonts w:ascii="Noto Sans" w:hAnsi="Noto Sans"/>
                <w:b/>
                <w:color w:val="17324D"/>
                <w:sz w:val="17"/>
              </w:rPr>
              <w:t xml:space="preserve">Workbook control: </w:t>
            </w:r>
            <w:r>
              <w:rPr>
                <w:rFonts w:ascii="Noto Sans" w:hAnsi="Noto Sans"/>
                <w:color w:val="17324D"/>
                <w:sz w:val="17"/>
              </w:rPr>
              <w:t>all category counts, expected charges, monthly variances, over-90 balances, and totals in chaldale_moorage_audit_2026-08.xlsx are formulas. Reconciled billing rows remain in the workbook but are hidden by default.</w:t>
            </w:r>
          </w:p>
        </w:tc>
      </w:tr>
    </w:tbl>
    <w:sectPr w:rsidR="00FC693F" w:rsidRPr="0006063C" w:rsidSect="00034616">
      <w:headerReference w:type="default" r:id="rId9"/>
      <w:footerReference w:type="default" r:id="rId10"/>
      <w:pgSz w:w="12240" w:h="15840"/>
      <w:pgMar w:top="893" w:right="1037" w:bottom="835" w:left="1037"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8136"/>
      <w:gridCol w:w="2016"/>
    </w:tblGrid>
    <w:tr>
      <w:tc>
        <w:tcPr>
          <w:tcW w:type="dxa" w:w="5076"/>
          <w:tcMar>
            <w:top w:w="0" w:type="dxa"/>
            <w:start w:w="0" w:type="dxa"/>
            <w:bottom w:w="0" w:type="dxa"/>
            <w:end w:w="0" w:type="dxa"/>
          </w:tcMar>
        </w:tcPr>
        <w:p>
          <w:pPr>
            <w:spacing w:after="0"/>
          </w:pPr>
          <w:r>
            <w:rPr>
              <w:rFonts w:ascii="Noto Sans" w:hAnsi="Noto Sans"/>
              <w:color w:val="5E6B75"/>
              <w:sz w:val="16"/>
            </w:rPr>
            <w:t>Moorage audit | Administrator review copy</w:t>
          </w:r>
        </w:p>
      </w:tc>
      <w:tc>
        <w:tcPr>
          <w:tcW w:type="dxa" w:w="5076"/>
          <w:tcMar>
            <w:top w:w="0" w:type="dxa"/>
            <w:start w:w="0" w:type="dxa"/>
            <w:bottom w:w="0" w:type="dxa"/>
            <w:end w:w="0" w:type="dxa"/>
          </w:tcMar>
        </w:tcPr>
        <w:p>
          <w:pPr>
            <w:jc w:val="right"/>
          </w:pPr>
          <w:r/>
          <w:r>
            <w:rPr>
              <w:rFonts w:ascii="Noto Sans" w:hAnsi="Noto Sans"/>
              <w:color w:val="5E6B75"/>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768"/>
      <w:gridCol w:w="3384"/>
    </w:tblGrid>
    <w:tr>
      <w:tc>
        <w:tcPr>
          <w:tcW w:type="dxa" w:w="5076"/>
          <w:tcMar>
            <w:top w:w="0" w:type="dxa"/>
            <w:start w:w="0" w:type="dxa"/>
            <w:bottom w:w="20" w:type="dxa"/>
            <w:end w:w="0" w:type="dxa"/>
          </w:tcMar>
          <w:tcBorders>
            <w:bottom w:val="single" w:sz="12" w:color="1F7A8C"/>
          </w:tcBorders>
        </w:tcPr>
        <w:p>
          <w:r>
            <w:rPr>
              <w:rFonts w:ascii="Noto Sans" w:hAnsi="Noto Sans"/>
              <w:b/>
              <w:color w:val="1F7A8C"/>
              <w:sz w:val="16"/>
            </w:rPr>
            <w:t>CHALDALE HARBOR DISTRICT</w:t>
          </w:r>
        </w:p>
      </w:tc>
      <w:tc>
        <w:tcPr>
          <w:tcW w:type="dxa" w:w="5076"/>
          <w:tcMar>
            <w:top w:w="0" w:type="dxa"/>
            <w:start w:w="0" w:type="dxa"/>
            <w:bottom w:w="20" w:type="dxa"/>
            <w:end w:w="0" w:type="dxa"/>
          </w:tcMar>
          <w:tcBorders>
            <w:bottom w:val="single" w:sz="12" w:color="1F7A8C"/>
          </w:tcBorders>
        </w:tcPr>
        <w:p>
          <w:pPr>
            <w:jc w:val="right"/>
          </w:pPr>
          <w:r>
            <w:rPr>
              <w:rFonts w:ascii="Noto Sans" w:hAnsi="Noto Sans"/>
              <w:b/>
              <w:color w:val="1F7A8C"/>
              <w:sz w:val="16"/>
            </w:rPr>
            <w:t>BOARD BRIEF | AUGUST 1,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Noto Sans" w:hAnsi="Noto Sans"/>
      <w:color w:val="173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Noto Sans" w:hAnsi="Noto Sans"/>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Noto Sans" w:hAnsi="Noto Sans"/>
      <w:b/>
      <w:bCs/>
      <w:color w:val="1F7A8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00"/>
      <w:contextualSpacing/>
    </w:pPr>
    <w:rPr>
      <w:rFonts w:asciiTheme="majorHAnsi" w:eastAsiaTheme="majorEastAsia" w:hAnsiTheme="majorHAnsi" w:cstheme="majorBidi" w:ascii="Noto Sans" w:hAnsi="Noto Sans"/>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