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Harbor Commissioners</w:t>
      </w:r>
      <w:r>
        <w:br/>
      </w:r>
      <w:r>
        <w:rPr>
          <w:b/>
          <w:bCs/>
        </w:rPr>
        <w:t xml:space="preserve">FROM:</w:t>
      </w:r>
      <w:r>
        <w:t xml:space="preserve"> </w:t>
      </w:r>
      <w:r>
        <w:t xml:space="preserve">Ginny Marina, Administrator (prepared by Moorage Counter Clerk)</w:t>
      </w:r>
      <w:r>
        <w:br/>
      </w:r>
      <w:r>
        <w:rPr>
          <w:b/>
          <w:bCs/>
        </w:rPr>
        <w:t xml:space="preserve">DATE:</w:t>
      </w:r>
      <w:r>
        <w:t xml:space="preserve"> </w:t>
      </w:r>
      <w:r>
        <w:t xml:space="preserve">August 1, 2026</w:t>
      </w:r>
      <w:r>
        <w:br/>
      </w:r>
      <w:r>
        <w:rPr>
          <w:b/>
          <w:bCs/>
        </w:rPr>
        <w:t xml:space="preserve">SUBJECT:</w:t>
      </w:r>
      <w:r>
        <w:t xml:space="preserve"> </w:t>
      </w:r>
      <w:r>
        <w:t xml:space="preserve">Moorage Audit Report (January 2023 – July 2026)</w:t>
      </w:r>
    </w:p>
    <w:bookmarkStart w:id="20" w:name="introduction"/>
    <w:p>
      <w:pPr>
        <w:pStyle w:val="Heading2"/>
      </w:pPr>
      <w:r>
        <w:t xml:space="preserve">1. Introduction</w:t>
      </w:r>
    </w:p>
    <w:p>
      <w:pPr>
        <w:pStyle w:val="FirstParagraph"/>
      </w:pPr>
      <w:r>
        <w:t xml:space="preserve">At the direction of the Board, a comprehensive moorage audit has been conducted covering the period of January 1, 2023, through July 31, 2026. This audit verifies District compliance with Standing Order 15-3 and Tariff Resolution 2019-14 (as amended by Resolution 2022-06), focusing on waitlist queue exceptions (skips), the reconciliation of active slip billings to post-adoption rates, and identifying accounts more than 90 days delinquent. The detailed findings and calculations are attached in the accompanying Excel workbook,</w:t>
      </w:r>
      <w:r>
        <w:t xml:space="preserve"> </w:t>
      </w:r>
      <w:r>
        <w:rPr>
          <w:rStyle w:val="VerbatimChar"/>
        </w:rPr>
        <w:t xml:space="preserve">chaldale_moorage_audit_2026-08.xlsx</w:t>
      </w:r>
      <w:r>
        <w:t xml:space="preserve">.</w:t>
      </w:r>
    </w:p>
    <w:bookmarkEnd w:id="20"/>
    <w:bookmarkStart w:id="21" w:name="queue-exceptions-skips"/>
    <w:p>
      <w:pPr>
        <w:pStyle w:val="Heading2"/>
      </w:pPr>
      <w:r>
        <w:t xml:space="preserve">2. Queue Exceptions (Skips)</w:t>
      </w:r>
    </w:p>
    <w:p>
      <w:pPr>
        <w:pStyle w:val="FirstParagraph"/>
      </w:pPr>
      <w:r>
        <w:t xml:space="preserve">The audit of waiting list skips identified a total of 34 exceptions between January 1, 2023, and July 31, 2026. These exceptions fall into two categories:</w:t>
      </w:r>
    </w:p>
    <w:p>
      <w:pPr>
        <w:pStyle w:val="BodyText"/>
      </w:pPr>
      <w:r>
        <w:rPr>
          <w:b/>
          <w:bCs/>
        </w:rPr>
        <w:t xml:space="preserve">A. Lack of Contemporaneous Proof of Eligibility (19 exceptions)</w:t>
      </w:r>
      <w:r>
        <w:t xml:space="preserve"> </w:t>
      </w:r>
      <w:r>
        <w:t xml:space="preserve">According to Standing Order 15-3 s.3.2-3.3, skip justification files must be assembled on the day the slip is worked and contain a supporting record. A cover sheet alone is insufficient. We identified 19 skips where no contemporaneous documentation (such as a register printout or ledger extract) was attached to the justification file at the time the slip was worked. These missing documents represent a breakdown in the administrative requirements for bypassing waitlisted applicants.</w:t>
      </w:r>
    </w:p>
    <w:p>
      <w:pPr>
        <w:pStyle w:val="BodyText"/>
      </w:pPr>
      <w:r>
        <w:rPr>
          <w:b/>
          <w:bCs/>
        </w:rPr>
        <w:t xml:space="preserve">B. Uncertified Vessel Length Amendments (15 exceptions)</w:t>
      </w:r>
      <w:r>
        <w:t xml:space="preserve"> </w:t>
      </w:r>
      <w:r>
        <w:t xml:space="preserve">Resolution 2022-06 §4.3 mandates that any vessel length amendment entered after August 1, 2022, must be supported by a signed measurement certificate or a yard haul-out measurement sheet on file at the time the slip is worked. The audit uncovered 15 skips where an applicant’s length overall (LOA) was amended after this date, and the applicant was subsequently skipped, yet no valid measurement certificate was found on file within the District’s records.</w:t>
      </w:r>
    </w:p>
    <w:p>
      <w:pPr>
        <w:pStyle w:val="BodyText"/>
      </w:pPr>
      <w:r>
        <w:rPr>
          <w:i/>
          <w:iCs/>
        </w:rPr>
        <w:t xml:space="preserve">Recommendation:</w:t>
      </w:r>
      <w:r>
        <w:t xml:space="preserve"> </w:t>
      </w:r>
      <w:r>
        <w:t xml:space="preserve">The Moorage Counter should enforce a strict checklist for skip files and immediately restrict system permissions for LOA amendments lacking verifiable measurement uploads.</w:t>
      </w:r>
    </w:p>
    <w:bookmarkEnd w:id="21"/>
    <w:bookmarkStart w:id="22" w:name="billing-reconciliations"/>
    <w:p>
      <w:pPr>
        <w:pStyle w:val="Heading2"/>
      </w:pPr>
      <w:r>
        <w:t xml:space="preserve">3. Billing Reconciliations</w:t>
      </w:r>
    </w:p>
    <w:p>
      <w:pPr>
        <w:pStyle w:val="FirstParagraph"/>
      </w:pPr>
      <w:r>
        <w:t xml:space="preserve">A review of all active, occupied slip billings was performed to ensure that moorage is being accurately billed according to the rate schedule adopted in Resolution 2022-06 (effective August 1, 2022). Rates were verified at $10.40 per foot-month for covered basins and $7.55 per foot-month for open basins. Billable length was verified as the vessel’s length overall (LOA) measured at check-in, rounded up to the nearest whole foot, or the nominal length of the assigned slip, whichever is greater.</w:t>
      </w:r>
    </w:p>
    <w:p>
      <w:pPr>
        <w:pStyle w:val="BodyText"/>
      </w:pPr>
      <w:r>
        <w:t xml:space="preserve">Out of all active slips, only a single billing discrepancy was identified:</w:t>
      </w:r>
      <w:r>
        <w:t xml:space="preserve"> </w:t>
      </w:r>
      <w:r>
        <w:t xml:space="preserve">-</w:t>
      </w:r>
      <w:r>
        <w:t xml:space="preserve"> </w:t>
      </w:r>
      <w:r>
        <w:rPr>
          <w:b/>
          <w:bCs/>
        </w:rPr>
        <w:t xml:space="preserve">Slip GW-0502</w:t>
      </w:r>
      <w:r>
        <w:t xml:space="preserve"> </w:t>
      </w:r>
      <w:r>
        <w:t xml:space="preserve">(Tenant: WL-03559, Gullwing Open Basin)</w:t>
      </w:r>
      <w:r>
        <w:t xml:space="preserve"> </w:t>
      </w:r>
      <w:r>
        <w:t xml:space="preserve">-</w:t>
      </w:r>
      <w:r>
        <w:t xml:space="preserve"> </w:t>
      </w:r>
      <w:r>
        <w:rPr>
          <w:b/>
          <w:bCs/>
        </w:rPr>
        <w:t xml:space="preserve">Expected Billable Length:</w:t>
      </w:r>
      <w:r>
        <w:t xml:space="preserve"> </w:t>
      </w:r>
      <w:r>
        <w:t xml:space="preserve">60 feet</w:t>
      </w:r>
      <w:r>
        <w:t xml:space="preserve"> </w:t>
      </w:r>
      <w:r>
        <w:t xml:space="preserve">-</w:t>
      </w:r>
      <w:r>
        <w:t xml:space="preserve"> </w:t>
      </w:r>
      <w:r>
        <w:rPr>
          <w:b/>
          <w:bCs/>
        </w:rPr>
        <w:t xml:space="preserve">Expected Monthly Amount:</w:t>
      </w:r>
      <w:r>
        <w:t xml:space="preserve"> </w:t>
      </w:r>
      <w:r>
        <w:t xml:space="preserve">$453.00 (60 ft × $7.55)</w:t>
      </w:r>
      <w:r>
        <w:t xml:space="preserve"> </w:t>
      </w:r>
      <w:r>
        <w:t xml:space="preserve">-</w:t>
      </w:r>
      <w:r>
        <w:t xml:space="preserve"> </w:t>
      </w:r>
      <w:r>
        <w:rPr>
          <w:b/>
          <w:bCs/>
        </w:rPr>
        <w:t xml:space="preserve">Actual Billed Amount:</w:t>
      </w:r>
      <w:r>
        <w:t xml:space="preserve"> </w:t>
      </w:r>
      <w:r>
        <w:t xml:space="preserve">$426.00 (which corresponds to the pre-2022 open rate of $7.10)</w:t>
      </w:r>
      <w:r>
        <w:t xml:space="preserve"> </w:t>
      </w:r>
      <w:r>
        <w:t xml:space="preserve">-</w:t>
      </w:r>
      <w:r>
        <w:t xml:space="preserve"> </w:t>
      </w:r>
      <w:r>
        <w:rPr>
          <w:b/>
          <w:bCs/>
        </w:rPr>
        <w:t xml:space="preserve">Monthly Variance:</w:t>
      </w:r>
      <w:r>
        <w:t xml:space="preserve"> </w:t>
      </w:r>
      <w:r>
        <w:t xml:space="preserve">-$27.00</w:t>
      </w:r>
    </w:p>
    <w:p>
      <w:pPr>
        <w:pStyle w:val="BodyText"/>
      </w:pPr>
      <w:r>
        <w:rPr>
          <w:i/>
          <w:iCs/>
        </w:rPr>
        <w:t xml:space="preserve">Recommendation:</w:t>
      </w:r>
      <w:r>
        <w:t xml:space="preserve"> </w:t>
      </w:r>
      <w:r>
        <w:t xml:space="preserve">The billing for slip GW-0502 must be updated immediately to the current rate. The finance department should calculate the back-owed moorage resulting from this sustained -$27.00 monthly deficit and issue a corresponding invoice to the tenant.</w:t>
      </w:r>
    </w:p>
    <w:bookmarkEnd w:id="22"/>
    <w:bookmarkStart w:id="23" w:name="accounts-receivable-aging"/>
    <w:p>
      <w:pPr>
        <w:pStyle w:val="Heading2"/>
      </w:pPr>
      <w:r>
        <w:t xml:space="preserve">4. Accounts Receivable Aging</w:t>
      </w:r>
    </w:p>
    <w:p>
      <w:pPr>
        <w:pStyle w:val="FirstParagraph"/>
      </w:pPr>
      <w:r>
        <w:t xml:space="preserve">Using the July aging ledger (</w:t>
      </w:r>
      <w:r>
        <w:rPr>
          <w:rStyle w:val="VerbatimChar"/>
        </w:rPr>
        <w:t xml:space="preserve">ar_aging_2026-07-31.xlsx</w:t>
      </w:r>
      <w:r>
        <w:t xml:space="preserve">), we evaluated all active slips to report those more than 90 days delinquent as of August 1, 2026.</w:t>
      </w:r>
    </w:p>
    <w:p>
      <w:pPr>
        <w:pStyle w:val="BodyText"/>
      </w:pPr>
      <w:r>
        <w:t xml:space="preserve">The audit identified two active accounts with balances extending into the 120+ days bucket, indicating severe delinquency:</w:t>
      </w:r>
      <w:r>
        <w:t xml:space="preserve"> </w:t>
      </w:r>
      <w:r>
        <w:t xml:space="preserve">-</w:t>
      </w:r>
      <w:r>
        <w:t xml:space="preserve"> </w:t>
      </w:r>
      <w:r>
        <w:rPr>
          <w:b/>
          <w:bCs/>
        </w:rPr>
        <w:t xml:space="preserve">Slip LP-0602</w:t>
      </w:r>
      <w:r>
        <w:t xml:space="preserve"> </w:t>
      </w:r>
      <w:r>
        <w:t xml:space="preserve">(Tenant: Lee Maldonado)</w:t>
      </w:r>
      <w:r>
        <w:t xml:space="preserve"> </w:t>
      </w:r>
      <w:r>
        <w:t xml:space="preserve">- 120+ Days Delinquent Balance: $603.20</w:t>
      </w:r>
      <w:r>
        <w:t xml:space="preserve"> </w:t>
      </w:r>
      <w:r>
        <w:t xml:space="preserve">- Total Due: $1,206.40</w:t>
      </w:r>
      <w:r>
        <w:t xml:space="preserve"> </w:t>
      </w:r>
      <w:r>
        <w:t xml:space="preserve">-</w:t>
      </w:r>
      <w:r>
        <w:t xml:space="preserve"> </w:t>
      </w:r>
      <w:r>
        <w:rPr>
          <w:b/>
          <w:bCs/>
        </w:rPr>
        <w:t xml:space="preserve">Slip LP-0713</w:t>
      </w:r>
      <w:r>
        <w:t xml:space="preserve"> </w:t>
      </w:r>
      <w:r>
        <w:t xml:space="preserve">(Tenant: Stacey Mitchell)</w:t>
      </w:r>
      <w:r>
        <w:t xml:space="preserve"> </w:t>
      </w:r>
      <w:r>
        <w:t xml:space="preserve">- 120+ Days Delinquent Balance: $832.00</w:t>
      </w:r>
      <w:r>
        <w:t xml:space="preserve"> </w:t>
      </w:r>
      <w:r>
        <w:t xml:space="preserve">- Total Due: $1,248.00</w:t>
      </w:r>
    </w:p>
    <w:p>
      <w:pPr>
        <w:pStyle w:val="BodyText"/>
      </w:pPr>
      <w:r>
        <w:rPr>
          <w:i/>
          <w:iCs/>
        </w:rPr>
        <w:t xml:space="preserve">Recommendation:</w:t>
      </w:r>
      <w:r>
        <w:t xml:space="preserve"> </w:t>
      </w:r>
      <w:r>
        <w:t xml:space="preserve">The Harbormaster should proceed with the District’s established collections process, including potential termination of moorage agreements and vessel impoundment, for these highly delinquent accounts.</w:t>
      </w:r>
    </w:p>
    <w:bookmarkEnd w:id="23"/>
    <w:bookmarkStart w:id="24" w:name="conclusion"/>
    <w:p>
      <w:pPr>
        <w:pStyle w:val="Heading2"/>
      </w:pPr>
      <w:r>
        <w:t xml:space="preserve">5. Conclusion</w:t>
      </w:r>
    </w:p>
    <w:p>
      <w:pPr>
        <w:pStyle w:val="FirstParagraph"/>
      </w:pPr>
      <w:r>
        <w:t xml:space="preserve">The District’s moorage operations remain largely compliant with the updated rate structures, with only one active billing discrepancy discovered. However, the waitlist administration requires immediate procedural reinforcement regarding Standing Order 15-3 and Resolution 2022-06. The 34 queue exceptions underscore a need for stricter supervision of length amendments and skip justification documentation at the Moorage Counter.</w:t>
      </w:r>
    </w:p>
    <w:p>
      <w:pPr>
        <w:pStyle w:val="BodyText"/>
      </w:pPr>
      <w:r>
        <w:t xml:space="preserve">The detailed ledger of exceptions, reconciliations, and aging is provided in the attached Excel report.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2026-09-13T20:31:52Z</dcterms:created>
  <dcterms:modified xsi:type="dcterms:W3CDTF">2026-09-13T20:31:52Z</dcterms:modified>
</cp:coreProperties>
</file>

<file path=docProps/custom.xml><?xml version="1.0" encoding="utf-8"?>
<Properties xmlns="http://schemas.openxmlformats.org/officeDocument/2006/custom-properties" xmlns:vt="http://schemas.openxmlformats.org/officeDocument/2006/docPropsVTypes"/>
</file>