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Board of Harbor Commissioners</w:t>
      </w:r>
    </w:p>
    <w:p>
      <w:r>
        <w:t>THROUGH: Ginny Marina, Administrator</w:t>
      </w:r>
    </w:p>
    <w:p>
      <w:r>
        <w:t>FROM: Counter Clerk</w:t>
      </w:r>
    </w:p>
    <w:p>
      <w:r>
        <w:t>DATE: August 1, 2026</w:t>
      </w:r>
    </w:p>
    <w:p>
      <w:r>
        <w:t>SUBJECT: Moorage Audit (January 2023 – July 2026)</w:t>
      </w:r>
    </w:p>
    <w:p>
      <w:r>
        <w:t>------------------------------------------------------------</w:t>
      </w:r>
    </w:p>
    <w:p>
      <w:pPr>
        <w:pStyle w:val="Heading1"/>
      </w:pPr>
      <w:r>
        <w:t>1. Executive Summary</w:t>
      </w:r>
    </w:p>
    <w:p>
      <w:r>
        <w:t>In accordance with the Board's priorities, a comprehensive audit of moorage operations was conducted. The scope of this audit encompasses waitlist skip events between January 1, 2023, and July 31, 2026, a reconciliation of active slip billings to the post-adoption rates (effective August 1, 2022), and a review of delinquent active slips as of August 1, 2026. The findings are detailed below and are supported by the attached Excel workbook, chaldale_moorage_audit_2026-08.xlsx.</w:t>
      </w:r>
    </w:p>
    <w:p>
      <w:pPr>
        <w:pStyle w:val="Heading1"/>
      </w:pPr>
      <w:r>
        <w:t>2. Queue Exceptions (Skips)</w:t>
      </w:r>
    </w:p>
    <w:p>
      <w:r>
        <w:t>We audited all skip events recorded between January 1, 2023, and July 31, 2026, to verify compliance with Standing Order 15-3 and Resolution 2022-06. Specifically, we checked for the presence of contemporaneous proof of eligibility (assembled on the day of the work) and appropriate documentation for vessel length amendments.</w:t>
      </w:r>
    </w:p>
    <w:p>
      <w:r>
        <w:t>Findings: We identified 19 skip events during the audit period that were processed without the required contemporaneous proof of eligibility attached to the skip justification file, which violates Standing Order 15-3 s.3.2-3.3. These exceptions are itemized in the 'Queue Exceptions' tab of the attached workbook. No violations were found concerning unsupported length amendments (per Resolution 2022-06 §4.3) leading to invalid skips.</w:t>
      </w:r>
    </w:p>
    <w:p>
      <w:pPr>
        <w:pStyle w:val="Heading1"/>
      </w:pPr>
      <w:r>
        <w:t>3. Active Slip Billing Reconciliations</w:t>
      </w:r>
    </w:p>
    <w:p>
      <w:r>
        <w:t>Active slip billings were reconciled against the post-adoption rates of $10.40/foot-month for covered slips and $7.55/foot-month for open slips. Per Resolution 2022-06, monthly moorage charges must be calculated using the vessel's length overall (LOA), rounded up to the nearest whole foot based on check-in measurements.</w:t>
      </w:r>
    </w:p>
    <w:p>
      <w:r>
        <w:t>Findings: The audit identified 266 active slips with billing discrepancies. Analysis reveals a systemic issue where the billing system is incorrectly computing the moorage charges using the slip's size rather than the vessel's billable length (vessel LOA rounded up). This discrepancy results in a substantial ongoing monthly variance. The 'Billing Reconciliations' tab in the attached workbook lists all affected accounts, comparing the expected correct monthly charges to the actual billed amounts.</w:t>
      </w:r>
    </w:p>
    <w:p>
      <w:pPr>
        <w:pStyle w:val="Heading1"/>
      </w:pPr>
      <w:r>
        <w:t>4. Delinquent Active Slips (&gt;90 Days)</w:t>
      </w:r>
    </w:p>
    <w:p>
      <w:r>
        <w:t>An assessment of accounts receivable was performed using the July 31, 2026 aging ledger to identify active slips that are more than 90 days delinquent as of August 1, 2026.</w:t>
      </w:r>
    </w:p>
    <w:p>
      <w:r>
        <w:t>Findings: We identified two (2) active slips with balances exceeding 90 days past due (located in the 120+ days aging bucket). These accounts are LP-0602 and LP-0713. Detailed figures are provided in the 'Aging' tab of the accompanying spreadsheet.</w:t>
      </w:r>
    </w:p>
    <w:p>
      <w:pPr>
        <w:pStyle w:val="Heading1"/>
      </w:pPr>
      <w:r>
        <w:t>5. Recommendations</w:t>
      </w:r>
    </w:p>
    <w:p>
      <w:r>
        <w:t>Based on the audit findings, it is recommended that the District:</w:t>
      </w:r>
    </w:p>
    <w:p>
      <w:pPr>
        <w:pStyle w:val="ListNumber"/>
      </w:pPr>
      <w:r>
        <w:t>1. Reinforce training for counter staff regarding the strict documentation standards for skip events.</w:t>
      </w:r>
    </w:p>
    <w:p>
      <w:pPr>
        <w:pStyle w:val="ListNumber"/>
      </w:pPr>
      <w:r>
        <w:t>2. Correct the billing system configurations so that monthly moorage is billed strictly by vessel LOA rounded up to the nearest foot, rather than by slip size, and review potential credits or back-billing for affected tenants.</w:t>
      </w:r>
    </w:p>
    <w:p>
      <w:pPr>
        <w:pStyle w:val="ListNumber"/>
      </w:pPr>
      <w:r>
        <w:t>3. Initiate appropriate collection or termination proceedings for the two active slips that are severely delinquent.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Chaldale Harbor District - Moorage Audit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