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rPr>
        <w:t xml:space="preserve">TO: </w:t>
      </w:r>
      <w:r>
        <w:t>Ginny Marina, Administrator</w:t>
        <w:br/>
      </w:r>
      <w:r>
        <w:rPr>
          <w:b/>
        </w:rPr>
        <w:t xml:space="preserve">FROM: </w:t>
      </w:r>
      <w:r>
        <w:t>Moorage Counter Clerk</w:t>
        <w:br/>
      </w:r>
      <w:r>
        <w:rPr>
          <w:b/>
        </w:rPr>
        <w:t xml:space="preserve">DATE: </w:t>
      </w:r>
      <w:r>
        <w:t>August 1, 2026</w:t>
        <w:br/>
      </w:r>
      <w:r>
        <w:rPr>
          <w:b/>
        </w:rPr>
        <w:t xml:space="preserve">SUBJECT: </w:t>
      </w:r>
      <w:r>
        <w:t>Moorage Audit for August 2026</w:t>
      </w:r>
    </w:p>
    <w:p>
      <w:pPr>
        <w:pStyle w:val="Heading2"/>
      </w:pPr>
      <w:r>
        <w:t>1. Queue Exceptions (Skips)</w:t>
      </w:r>
    </w:p>
    <w:p>
      <w:r>
        <w:t>In accordance with the Board’s priority, an audit was conducted on all applicants on skips for the period of January 1, 2023 through July 31, 2026. This review examined the provided skip justification files for compliance with Standing Order 15-3 s.3.2-3.3, which requires a contemporaneous proof of eligibility (supporting record) to be attached to the skip justification file, and Resolution 2022-06 §4.3, which mandates a signed measurement certificate or yard haul-out sheet on file for any length amendments after August 1, 2022.</w:t>
      </w:r>
    </w:p>
    <w:p>
      <w:r>
        <w:t>The audit identified three skips that lacked the required contemporaneous proof of eligibility (only the cover sheet was attached with no supporting record):</w:t>
      </w:r>
    </w:p>
    <w:p>
      <w:r>
        <w:t>• WL-02618 (Gary Tomlinson) - Skipped on 2023-05-02</w:t>
      </w:r>
    </w:p>
    <w:p>
      <w:r>
        <w:t>• WL-03044 (Iris B. Quan) - Skipped on 2024-02-20</w:t>
      </w:r>
    </w:p>
    <w:p>
      <w:r>
        <w:t>• WL-03390 (Phillip Ard) - Skipped on 2024-11-05</w:t>
      </w:r>
    </w:p>
    <w:p>
      <w:r>
        <w:t>The other reviewed files (e.g., WL-02877 and WL-03102) contained the required supporting records. WL-03102 also had an amended length that was properly supported by a signed measurement sheet on file.</w:t>
      </w:r>
    </w:p>
    <w:p>
      <w:pPr>
        <w:pStyle w:val="Heading2"/>
      </w:pPr>
      <w:r>
        <w:t>2. Billing Reconciliations</w:t>
      </w:r>
    </w:p>
    <w:p>
      <w:r>
        <w:t>A reconciliation of all active slip billings to the post-adoption rates ($10.40/foot-month for covered slips and $7.55/foot-month for open slips, effective August 1, 2022) was conducted using the check-in measurements per the measurement certificates (vessel LOA rounded up).</w:t>
      </w:r>
    </w:p>
    <w:p>
      <w:r>
        <w:t>The detailed analysis identified several discrepancies where the billed length did not align with the rounded-up vessel check-in length, resulting in monthly variances. These variances are fully itemized in the "Billing Reconciliations" tab of the attached spreadsheet, complete with formulas calculating expected amounts and variances.</w:t>
      </w:r>
    </w:p>
    <w:p>
      <w:pPr>
        <w:pStyle w:val="Heading2"/>
      </w:pPr>
      <w:r>
        <w:t>3. Aging Accounts (Delinquencies)</w:t>
      </w:r>
    </w:p>
    <w:p>
      <w:r>
        <w:t>A review of the July 2026 accounts receivable aging ledger was conducted to report active slips more than 90 days delinquent as of August 1, 2026.</w:t>
      </w:r>
    </w:p>
    <w:p>
      <w:r>
        <w:t>Six accounts were identified with balances extending into the 120+ days bucket, indicating they are significantly more than 90 days delinquent and currently in collections. The affected accounts are listed in the "Aging" tab of the audit spreadsheet.</w:t>
      </w:r>
    </w:p>
    <w:p>
      <w:r>
        <w:br/>
        <w:t>Thank you for your review of these findings. Please let me know if further detail or investigation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