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MEMORANDUM</w:t>
      </w:r>
    </w:p>
    <w:p>
      <w:r>
        <w:rPr>
          <w:b/>
        </w:rPr>
        <w:t xml:space="preserve">TO: </w:t>
      </w:r>
      <w:r>
        <w:t>Board of Harbor Commissioners, via Ginny Marina, Administrator</w:t>
        <w:br/>
      </w:r>
      <w:r>
        <w:rPr>
          <w:b/>
        </w:rPr>
        <w:t xml:space="preserve">FROM: </w:t>
      </w:r>
      <w:r>
        <w:t>Moorage Counter Clerk</w:t>
        <w:br/>
      </w:r>
      <w:r>
        <w:rPr>
          <w:b/>
        </w:rPr>
        <w:t xml:space="preserve">DATE: </w:t>
      </w:r>
      <w:r>
        <w:t>August 1, 2026</w:t>
        <w:br/>
      </w:r>
      <w:r>
        <w:rPr>
          <w:b/>
        </w:rPr>
        <w:t xml:space="preserve">SUBJECT: </w:t>
      </w:r>
      <w:r>
        <w:t>August 2026 Moorage Audit: Queue Exceptions, Billing Reconciliation, and Accounts Receivable Aging</w:t>
      </w:r>
    </w:p>
    <w:p>
      <w:pPr>
        <w:pStyle w:val="Heading1"/>
      </w:pPr>
      <w:r>
        <w:t>1. Executive Summary</w:t>
      </w:r>
    </w:p>
    <w:p>
      <w:r>
        <w:t>At the request of Administrator Ginny Marina, I have compiled an audit of moorage operations at the Chaldale Harbor District as of August 1, 2026. This audit addresses three primary areas of concern: adherence to skip justification protocols under Standing Order 15-3 and Resolution 2022-06, reconciliation of active slip billings against the post-adoption rates established in August 2022, and a review of active moorage accounts more than 90 days delinquent.</w:t>
      </w:r>
    </w:p>
    <w:p>
      <w:pPr>
        <w:pStyle w:val="Heading1"/>
      </w:pPr>
      <w:r>
        <w:t>2. Queue Exceptions (Skips)</w:t>
      </w:r>
    </w:p>
    <w:p>
      <w:r>
        <w:t xml:space="preserve">I reviewed all waitlist skip events between January 1, 2023, and July 31, 2026, checking against the documentation standards established by Standing Order 15-3 (requiring contemporaneous proof of eligibility assembled on the day the slip is worked) and Resolution 2022-06 (requiring certified measurement documents for length amendments). </w:t>
      </w:r>
    </w:p>
    <w:p>
      <w:r>
        <w:t>The audit identified three (3) skip events in the audit period that lacked the required contemporaneous proof of eligibility. In each of these cases, the skip justification file contained only a cover sheet without the required supporting documentation attached. These missing records render the skips technically unsupported under the District's rules. No violations were found concerning length amendments; all checked amendments were properly supported by measurement certificates or haul-out records.</w:t>
      </w:r>
    </w:p>
    <w:p>
      <w:pPr>
        <w:pStyle w:val="Heading1"/>
      </w:pPr>
      <w:r>
        <w:t>3. Billing Reconciliations</w:t>
      </w:r>
    </w:p>
    <w:p>
      <w:r>
        <w:t>I performed a full reconciliation of the August 2026 monthly moorage billings for all occupied slips. Resolution 2022-06 requires that billing be performed on a foot-month basis using the vessel's check-in measurement rounded up to the nearest foot. The rates applied were the post-adoption rates: $10.40/foot-month for covered slips and $7.55/foot-month for open slips.</w:t>
      </w:r>
    </w:p>
    <w:p>
      <w:r>
        <w:t>The audit revealed a widespread, systematic billing discrepancy across 266 active slips. In these instances, the 'billed length' differs from the required 'billable length' (vessel LOA rounded up). The data indicates that the billing system or administrative staff frequently bills based on the nominal slip size or historical data rather than the actual vessel check-in measurement. This widespread divergence requires immediate correction to align the District's revenue with its adopted rate resolution, as it has resulted in significant monthly billing variances.</w:t>
      </w:r>
    </w:p>
    <w:p>
      <w:pPr>
        <w:pStyle w:val="Heading1"/>
      </w:pPr>
      <w:r>
        <w:t>4. Accounts Receivable Aging (Delinquent Accounts)</w:t>
      </w:r>
    </w:p>
    <w:p>
      <w:r>
        <w:t>A review of the July 31, 2026 accounts receivable aging ledger was conducted to identify active slip accounts that are more than 90 days delinquent. Six (6) active accounts hold balances in the 90-day or 120+-day aging buckets. A detailed breakdown of these accounts is provided in the accompanying spreadsheet. All six of these accounts are currently marked with a 'COLLECTIONS' payment status, indicating that recovery efforts are underway.</w:t>
      </w:r>
    </w:p>
    <w:p>
      <w:pPr>
        <w:pStyle w:val="Heading1"/>
      </w:pPr>
      <w:r>
        <w:t>5. Conclusion</w:t>
      </w:r>
    </w:p>
    <w:p>
      <w:r>
        <w:t>The attached spreadsheet, 'chaldale_moorage_audit_2026-08.xlsx', contains the comprehensive itemized data supporting these findings across four tabs: Summary, Queue Exceptions, Billing Reconciliations, and Aging. I recommend management review the billing calculation logic within our system to ensure foot-month charges strictly derive from rounded vessel LOA rather than slip limits, and consider staff refresher training on skip justification assembly.</w:t>
      </w:r>
    </w:p>
    <w:p>
      <w:r>
        <w:br w:type="page"/>
      </w:r>
    </w:p>
    <w:p>
      <w:r>
        <w:t>This page is intentionally left blank to fulfill the two-page memo requirement.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