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Noto Sans" w:hAnsi="Noto Sans"/>
          <w:b/>
          <w:color w:val="1C6673"/>
          <w:sz w:val="16"/>
        </w:rPr>
        <w:t>CHALDALE HARBOR DISTRICT</w:t>
      </w:r>
      <w:r>
        <w:rPr>
          <w:rFonts w:ascii="Noto Sans" w:hAnsi="Noto Sans"/>
          <w:color w:val="66727D"/>
          <w:sz w:val="16"/>
        </w:rPr>
        <w:t xml:space="preserve">  |  BOARD MEMORANDUM  |  DECISION BRIEF</w:t>
      </w:r>
    </w:p>
    <w:p>
      <w:pPr>
        <w:pStyle w:val="Title"/>
        <w:spacing w:after="60"/>
      </w:pPr>
      <w:r>
        <w:t>Moorage queue, billing, and aging audit</w:t>
      </w:r>
    </w:p>
    <w:tbl>
      <w:tblPr>
        <w:tblW w:type="auto" w:w="0"/>
        <w:jc w:val="left"/>
        <w:tblLayout w:type="fixed"/>
        <w:tblLook w:firstColumn="1" w:firstRow="1" w:lastColumn="0" w:lastRow="0" w:noHBand="0" w:noVBand="1" w:val="04A0"/>
      </w:tblPr>
      <w:tblGrid>
        <w:gridCol w:w="1440"/>
        <w:gridCol w:w="8856"/>
      </w:tblGrid>
      <w:tr>
        <w:tc>
          <w:tcPr>
            <w:tcW w:type="dxa" w:w="5227"/>
            <w:tcMar>
              <w:top w:w="25" w:type="dxa"/>
              <w:start w:w="45" w:type="dxa"/>
              <w:bottom w:w="25" w:type="dxa"/>
              <w:end w:w="45" w:type="dxa"/>
            </w:tcMar>
          </w:tcPr>
          <w:p>
            <w:r>
              <w:rPr>
                <w:rFonts w:ascii="Noto Sans" w:hAnsi="Noto Sans"/>
                <w:b/>
                <w:color w:val="1C6673"/>
                <w:sz w:val="15"/>
              </w:rPr>
              <w:t>TO</w:t>
            </w:r>
          </w:p>
        </w:tc>
        <w:tc>
          <w:tcPr>
            <w:tcW w:type="dxa" w:w="5227"/>
            <w:tcMar>
              <w:top w:w="25" w:type="dxa"/>
              <w:start w:w="45" w:type="dxa"/>
              <w:bottom w:w="25" w:type="dxa"/>
              <w:end w:w="45" w:type="dxa"/>
            </w:tcMar>
          </w:tcPr>
          <w:p>
            <w:r>
              <w:rPr>
                <w:rFonts w:ascii="Noto Sans" w:hAnsi="Noto Sans"/>
                <w:color w:val="253038"/>
                <w:sz w:val="17"/>
              </w:rPr>
              <w:t>Board of Commissioners</w:t>
            </w:r>
          </w:p>
        </w:tc>
      </w:tr>
      <w:tr>
        <w:tc>
          <w:tcPr>
            <w:tcW w:type="dxa" w:w="5227"/>
            <w:tcMar>
              <w:top w:w="25" w:type="dxa"/>
              <w:start w:w="45" w:type="dxa"/>
              <w:bottom w:w="25" w:type="dxa"/>
              <w:end w:w="45" w:type="dxa"/>
            </w:tcMar>
          </w:tcPr>
          <w:p>
            <w:r>
              <w:rPr>
                <w:rFonts w:ascii="Noto Sans" w:hAnsi="Noto Sans"/>
                <w:b/>
                <w:color w:val="1C6673"/>
                <w:sz w:val="15"/>
              </w:rPr>
              <w:t>FROM</w:t>
            </w:r>
          </w:p>
        </w:tc>
        <w:tc>
          <w:tcPr>
            <w:tcW w:type="dxa" w:w="5227"/>
            <w:tcMar>
              <w:top w:w="25" w:type="dxa"/>
              <w:start w:w="45" w:type="dxa"/>
              <w:bottom w:w="25" w:type="dxa"/>
              <w:end w:w="45" w:type="dxa"/>
            </w:tcMar>
          </w:tcPr>
          <w:p>
            <w:r>
              <w:rPr>
                <w:rFonts w:ascii="Noto Sans" w:hAnsi="Noto Sans"/>
                <w:color w:val="253038"/>
                <w:sz w:val="17"/>
              </w:rPr>
              <w:t>Counter Clerk, for Administrator Ginny Marina</w:t>
            </w:r>
          </w:p>
        </w:tc>
      </w:tr>
      <w:tr>
        <w:tc>
          <w:tcPr>
            <w:tcW w:type="dxa" w:w="5227"/>
            <w:tcMar>
              <w:top w:w="25" w:type="dxa"/>
              <w:start w:w="45" w:type="dxa"/>
              <w:bottom w:w="25" w:type="dxa"/>
              <w:end w:w="45" w:type="dxa"/>
            </w:tcMar>
          </w:tcPr>
          <w:p>
            <w:r>
              <w:rPr>
                <w:rFonts w:ascii="Noto Sans" w:hAnsi="Noto Sans"/>
                <w:b/>
                <w:color w:val="1C6673"/>
                <w:sz w:val="15"/>
              </w:rPr>
              <w:t>DATE</w:t>
            </w:r>
          </w:p>
        </w:tc>
        <w:tc>
          <w:tcPr>
            <w:tcW w:type="dxa" w:w="5227"/>
            <w:tcMar>
              <w:top w:w="25" w:type="dxa"/>
              <w:start w:w="45" w:type="dxa"/>
              <w:bottom w:w="25" w:type="dxa"/>
              <w:end w:w="45" w:type="dxa"/>
            </w:tcMar>
          </w:tcPr>
          <w:p>
            <w:r>
              <w:rPr>
                <w:rFonts w:ascii="Noto Sans" w:hAnsi="Noto Sans"/>
                <w:color w:val="253038"/>
                <w:sz w:val="17"/>
              </w:rPr>
              <w:t>August 1, 2026</w:t>
            </w:r>
          </w:p>
        </w:tc>
      </w:tr>
      <w:tr>
        <w:tc>
          <w:tcPr>
            <w:tcW w:type="dxa" w:w="5227"/>
            <w:tcMar>
              <w:top w:w="25" w:type="dxa"/>
              <w:start w:w="45" w:type="dxa"/>
              <w:bottom w:w="25" w:type="dxa"/>
              <w:end w:w="45" w:type="dxa"/>
            </w:tcMar>
          </w:tcPr>
          <w:p>
            <w:r>
              <w:rPr>
                <w:rFonts w:ascii="Noto Sans" w:hAnsi="Noto Sans"/>
                <w:b/>
                <w:color w:val="1C6673"/>
                <w:sz w:val="15"/>
              </w:rPr>
              <w:t>SUBJECT</w:t>
            </w:r>
          </w:p>
        </w:tc>
        <w:tc>
          <w:tcPr>
            <w:tcW w:type="dxa" w:w="5227"/>
            <w:tcMar>
              <w:top w:w="25" w:type="dxa"/>
              <w:start w:w="45" w:type="dxa"/>
              <w:bottom w:w="25" w:type="dxa"/>
              <w:end w:w="45" w:type="dxa"/>
            </w:tcMar>
          </w:tcPr>
          <w:p>
            <w:r>
              <w:rPr>
                <w:rFonts w:ascii="Noto Sans" w:hAnsi="Noto Sans"/>
                <w:color w:val="253038"/>
                <w:sz w:val="17"/>
              </w:rPr>
              <w:t>Board direction on priority restoration, billing correction, and collections</w:t>
            </w:r>
          </w:p>
        </w:tc>
      </w:tr>
    </w:tbl>
    <w:tbl>
      <w:tblPr>
        <w:tblW w:type="auto" w:w="0"/>
        <w:jc w:val="center"/>
        <w:tblLayout w:type="autofit"/>
        <w:tblLook w:firstColumn="1" w:firstRow="1" w:lastColumn="0" w:lastRow="0" w:noHBand="0" w:noVBand="1" w:val="04A0"/>
      </w:tblPr>
      <w:tblGrid>
        <w:gridCol w:w="10454"/>
      </w:tblGrid>
      <w:tr>
        <w:tc>
          <w:tcPr>
            <w:tcW w:type="dxa" w:w="10454"/>
            <w:shd w:fill="FFF2CC"/>
            <w:tcMar>
              <w:top w:w="90" w:type="dxa"/>
              <w:start w:w="130" w:type="dxa"/>
              <w:bottom w:w="90" w:type="dxa"/>
              <w:end w:w="130" w:type="dxa"/>
            </w:tcMar>
          </w:tcPr>
          <w:p>
            <w:pPr>
              <w:spacing w:after="0"/>
            </w:pPr>
            <w:r>
              <w:rPr>
                <w:rFonts w:ascii="Noto Sans" w:hAnsi="Noto Sans"/>
                <w:b/>
                <w:color w:val="18324A"/>
                <w:sz w:val="18"/>
              </w:rPr>
              <w:t xml:space="preserve">Decision requested  </w:t>
            </w:r>
            <w:r>
              <w:rPr>
                <w:rFonts w:ascii="Noto Sans" w:hAnsi="Noto Sans"/>
                <w:color w:val="253038"/>
                <w:sz w:val="18"/>
              </w:rPr>
              <w:t>Direct a source-record reconstruction for the queue conflicts; then apply the Board's rank-preserving, first-next-matching-vacancy remedy where proof fails. Correct and credit VB-0208, pursue the six collection accounts, and require complete district-wide billing and aging extracts.</w:t>
            </w:r>
          </w:p>
        </w:tc>
      </w:tr>
    </w:tbl>
    <w:p>
      <w:pPr>
        <w:pStyle w:val="Heading1"/>
      </w:pPr>
      <w:r>
        <w:t>Audit conclusion</w:t>
      </w:r>
    </w:p>
    <w:p>
      <w:r>
        <w:rPr>
          <w:b/>
        </w:rPr>
        <w:t xml:space="preserve">The Board should not treat the exports as a clean priority record. </w:t>
      </w:r>
      <w:r>
        <w:t>The workbook screens every in-period skip and places exceptions first by rank_at_offer, the closest supplied proxy for the Board's earliest-applicant priority. Standing Order 15-3 ss.3.2-3.3 requires same-day support, and Appeal 2018-3 (pp.2-3) makes the file as it existed when worked controlling; later reconstruction cannot cure a skip. Resolution 2022-06 s.4.3 separately bars use of an unsupported post-August 2022 length amendment.</w:t>
      </w:r>
    </w:p>
    <w:tbl>
      <w:tblPr>
        <w:tblW w:type="auto" w:w="0"/>
        <w:jc w:val="center"/>
        <w:tblLayout w:type="fixed"/>
        <w:tblLook w:firstColumn="1" w:firstRow="1" w:lastColumn="0" w:lastRow="0" w:noHBand="0" w:noVBand="1" w:val="04A0"/>
      </w:tblPr>
      <w:tblGrid>
        <w:gridCol w:w="1512"/>
        <w:gridCol w:w="1757"/>
        <w:gridCol w:w="6840"/>
      </w:tblGrid>
      <w:tr>
        <w:trPr>
          <w:tblHeader w:val="true"/>
        </w:trPr>
        <w:tc>
          <w:tcPr>
            <w:tcW w:type="dxa" w:w="3485"/>
            <w:shd w:fill="1C6673"/>
            <w:tcMar>
              <w:top w:w="80" w:type="dxa"/>
              <w:start w:w="100" w:type="dxa"/>
              <w:bottom w:w="80" w:type="dxa"/>
              <w:end w:w="100" w:type="dxa"/>
            </w:tcMar>
          </w:tcPr>
          <w:p>
            <w:r>
              <w:rPr>
                <w:rFonts w:ascii="Noto Sans" w:hAnsi="Noto Sans"/>
                <w:b/>
                <w:color w:val="FFFFFF"/>
                <w:sz w:val="16"/>
              </w:rPr>
              <w:t>Area</w:t>
            </w:r>
          </w:p>
        </w:tc>
        <w:tc>
          <w:tcPr>
            <w:tcW w:type="dxa" w:w="3485"/>
            <w:shd w:fill="1C6673"/>
            <w:tcMar>
              <w:top w:w="80" w:type="dxa"/>
              <w:start w:w="100" w:type="dxa"/>
              <w:bottom w:w="80" w:type="dxa"/>
              <w:end w:w="100" w:type="dxa"/>
            </w:tcMar>
          </w:tcPr>
          <w:p>
            <w:r>
              <w:rPr>
                <w:rFonts w:ascii="Noto Sans" w:hAnsi="Noto Sans"/>
                <w:b/>
                <w:color w:val="FFFFFF"/>
                <w:sz w:val="16"/>
              </w:rPr>
              <w:t>Result</w:t>
            </w:r>
          </w:p>
        </w:tc>
        <w:tc>
          <w:tcPr>
            <w:tcW w:type="dxa" w:w="3485"/>
            <w:shd w:fill="1C6673"/>
            <w:tcMar>
              <w:top w:w="80" w:type="dxa"/>
              <w:start w:w="100" w:type="dxa"/>
              <w:bottom w:w="80" w:type="dxa"/>
              <w:end w:w="100" w:type="dxa"/>
            </w:tcMar>
          </w:tcPr>
          <w:p>
            <w:r>
              <w:rPr>
                <w:rFonts w:ascii="Noto Sans" w:hAnsi="Noto Sans"/>
                <w:b/>
                <w:color w:val="FFFFFF"/>
                <w:sz w:val="16"/>
              </w:rPr>
              <w:t>Finding and source</w:t>
            </w:r>
          </w:p>
        </w:tc>
      </w:tr>
      <w:tr>
        <w:tc>
          <w:tcPr>
            <w:tcW w:type="dxa" w:w="1512"/>
            <w:tcMar>
              <w:top w:w="75" w:type="dxa"/>
              <w:start w:w="90" w:type="dxa"/>
              <w:bottom w:w="75" w:type="dxa"/>
              <w:end w:w="90" w:type="dxa"/>
            </w:tcMar>
            <w:vAlign w:val="top"/>
          </w:tcPr>
          <w:p>
            <w:r>
              <w:rPr>
                <w:rFonts w:ascii="Noto Sans" w:hAnsi="Noto Sans"/>
                <w:b/>
                <w:color w:val="18324A"/>
                <w:sz w:val="16"/>
              </w:rPr>
              <w:t>Queue</w:t>
            </w:r>
          </w:p>
        </w:tc>
        <w:tc>
          <w:tcPr>
            <w:tcW w:type="dxa" w:w="1757"/>
            <w:tcMar>
              <w:top w:w="75" w:type="dxa"/>
              <w:start w:w="90" w:type="dxa"/>
              <w:bottom w:w="75" w:type="dxa"/>
              <w:end w:w="90" w:type="dxa"/>
            </w:tcMar>
            <w:vAlign w:val="top"/>
          </w:tcPr>
          <w:p>
            <w:r>
              <w:rPr>
                <w:rFonts w:ascii="Noto Sans" w:hAnsi="Noto Sans"/>
                <w:b/>
                <w:color w:val="18324A"/>
                <w:sz w:val="16"/>
              </w:rPr>
              <w:t>23 records</w:t>
            </w:r>
          </w:p>
        </w:tc>
        <w:tc>
          <w:tcPr>
            <w:tcW w:type="dxa" w:w="6840"/>
            <w:tcMar>
              <w:top w:w="75" w:type="dxa"/>
              <w:start w:w="90" w:type="dxa"/>
              <w:bottom w:w="75" w:type="dxa"/>
              <w:end w:w="90" w:type="dxa"/>
            </w:tcMar>
            <w:vAlign w:val="top"/>
          </w:tcPr>
          <w:p>
            <w:r>
              <w:rPr>
                <w:rFonts w:ascii="Noto Sans" w:hAnsi="Noto Sans"/>
                <w:b w:val="0"/>
                <w:color w:val="253038"/>
                <w:sz w:val="15"/>
              </w:rPr>
              <w:t>309 skips screened. Nineteen are export-flagged or confirmed as lacking support; five outcome-determinative LOA amendments name an instrument not furnished, with one overlap. Three supplied files are confirmed cover-only. Sources: skip_events_2022_2026.csv rows 96-399 and 409-413; WL-02618, WL-03044 and WL-03390 justification PDFs, p.1; amendment_log_2022_2026.csv rows 289, 381, 692, 1110 and 1205.</w:t>
            </w:r>
          </w:p>
        </w:tc>
      </w:tr>
      <w:tr>
        <w:tc>
          <w:tcPr>
            <w:tcW w:type="dxa" w:w="1512"/>
            <w:tcMar>
              <w:top w:w="75" w:type="dxa"/>
              <w:start w:w="90" w:type="dxa"/>
              <w:bottom w:w="75" w:type="dxa"/>
              <w:end w:w="90" w:type="dxa"/>
            </w:tcMar>
            <w:vAlign w:val="top"/>
            <w:shd w:fill="F2F4F5"/>
          </w:tcPr>
          <w:p>
            <w:r>
              <w:rPr>
                <w:rFonts w:ascii="Noto Sans" w:hAnsi="Noto Sans"/>
                <w:b/>
                <w:color w:val="18324A"/>
                <w:sz w:val="16"/>
              </w:rPr>
              <w:t>Integrity</w:t>
            </w:r>
          </w:p>
        </w:tc>
        <w:tc>
          <w:tcPr>
            <w:tcW w:type="dxa" w:w="1757"/>
            <w:tcMar>
              <w:top w:w="75" w:type="dxa"/>
              <w:start w:w="90" w:type="dxa"/>
              <w:bottom w:w="75" w:type="dxa"/>
              <w:end w:w="90" w:type="dxa"/>
            </w:tcMar>
            <w:vAlign w:val="top"/>
            <w:shd w:fill="F2F4F5"/>
          </w:tcPr>
          <w:p>
            <w:r>
              <w:rPr>
                <w:rFonts w:ascii="Noto Sans" w:hAnsi="Noto Sans"/>
                <w:b/>
                <w:color w:val="18324A"/>
                <w:sz w:val="16"/>
              </w:rPr>
              <w:t>124 + 5</w:t>
            </w:r>
          </w:p>
        </w:tc>
        <w:tc>
          <w:tcPr>
            <w:tcW w:type="dxa" w:w="6840"/>
            <w:tcMar>
              <w:top w:w="75" w:type="dxa"/>
              <w:start w:w="90" w:type="dxa"/>
              <w:bottom w:w="75" w:type="dxa"/>
              <w:end w:w="90" w:type="dxa"/>
            </w:tcMar>
            <w:vAlign w:val="top"/>
            <w:shd w:fill="F2F4F5"/>
          </w:tcPr>
          <w:p>
            <w:r>
              <w:rPr>
                <w:rFonts w:ascii="Noto Sans" w:hAnsi="Noto Sans"/>
                <w:b w:val="0"/>
                <w:color w:val="253038"/>
                <w:sz w:val="15"/>
              </w:rPr>
              <w:t>124 skips predate the current application date and five offer IDs are absent. The exports conflict with applicant_register_2026-08.csv; historical register snapshots and counter day logs must settle identity and chronology.</w:t>
            </w:r>
          </w:p>
        </w:tc>
      </w:tr>
      <w:tr>
        <w:tc>
          <w:tcPr>
            <w:tcW w:type="dxa" w:w="1512"/>
            <w:tcMar>
              <w:top w:w="75" w:type="dxa"/>
              <w:start w:w="90" w:type="dxa"/>
              <w:bottom w:w="75" w:type="dxa"/>
              <w:end w:w="90" w:type="dxa"/>
            </w:tcMar>
            <w:vAlign w:val="top"/>
          </w:tcPr>
          <w:p>
            <w:r>
              <w:rPr>
                <w:rFonts w:ascii="Noto Sans" w:hAnsi="Noto Sans"/>
                <w:b/>
                <w:color w:val="18324A"/>
                <w:sz w:val="16"/>
              </w:rPr>
              <w:t>Billing</w:t>
            </w:r>
          </w:p>
        </w:tc>
        <w:tc>
          <w:tcPr>
            <w:tcW w:type="dxa" w:w="1757"/>
            <w:tcMar>
              <w:top w:w="75" w:type="dxa"/>
              <w:start w:w="90" w:type="dxa"/>
              <w:bottom w:w="75" w:type="dxa"/>
              <w:end w:w="90" w:type="dxa"/>
            </w:tcMar>
            <w:vAlign w:val="top"/>
          </w:tcPr>
          <w:p>
            <w:r>
              <w:rPr>
                <w:rFonts w:ascii="Noto Sans" w:hAnsi="Noto Sans"/>
                <w:b/>
                <w:color w:val="18324A"/>
                <w:sz w:val="16"/>
              </w:rPr>
              <w:t>+$83.20/mo</w:t>
            </w:r>
          </w:p>
        </w:tc>
        <w:tc>
          <w:tcPr>
            <w:tcW w:type="dxa" w:w="6840"/>
            <w:tcMar>
              <w:top w:w="75" w:type="dxa"/>
              <w:start w:w="90" w:type="dxa"/>
              <w:bottom w:w="75" w:type="dxa"/>
              <w:end w:w="90" w:type="dxa"/>
            </w:tcMar>
            <w:vAlign w:val="top"/>
          </w:tcPr>
          <w:p>
            <w:r>
              <w:rPr>
                <w:rFonts w:ascii="Noto Sans" w:hAnsi="Noto Sans"/>
                <w:b w:val="0"/>
                <w:color w:val="253038"/>
                <w:sz w:val="15"/>
              </w:rPr>
              <w:t>VB-0208 was billed at 40 ft ($416.00) rather than 32 ft ($332.80): 40 x $10.40 - max(32, ceil(31.4)) x $10.40 = $83.20 pre-tax overbilling per month. Sources: billing_transactions_2022_2026.csv row 46091 and prior listed rows; signed agreement p.1; 2024-06-03 measurement certificate p.1.</w:t>
            </w:r>
          </w:p>
        </w:tc>
      </w:tr>
      <w:tr>
        <w:tc>
          <w:tcPr>
            <w:tcW w:type="dxa" w:w="1512"/>
            <w:tcMar>
              <w:top w:w="75" w:type="dxa"/>
              <w:start w:w="90" w:type="dxa"/>
              <w:bottom w:w="75" w:type="dxa"/>
              <w:end w:w="90" w:type="dxa"/>
            </w:tcMar>
            <w:vAlign w:val="top"/>
            <w:shd w:fill="F2F4F5"/>
          </w:tcPr>
          <w:p>
            <w:r>
              <w:rPr>
                <w:rFonts w:ascii="Noto Sans" w:hAnsi="Noto Sans"/>
                <w:b/>
                <w:color w:val="18324A"/>
                <w:sz w:val="16"/>
              </w:rPr>
              <w:t>Aging</w:t>
            </w:r>
          </w:p>
        </w:tc>
        <w:tc>
          <w:tcPr>
            <w:tcW w:type="dxa" w:w="1757"/>
            <w:tcMar>
              <w:top w:w="75" w:type="dxa"/>
              <w:start w:w="90" w:type="dxa"/>
              <w:bottom w:w="75" w:type="dxa"/>
              <w:end w:w="90" w:type="dxa"/>
            </w:tcMar>
            <w:vAlign w:val="top"/>
            <w:shd w:fill="F2F4F5"/>
          </w:tcPr>
          <w:p>
            <w:r>
              <w:rPr>
                <w:rFonts w:ascii="Noto Sans" w:hAnsi="Noto Sans"/>
                <w:b/>
                <w:color w:val="18324A"/>
                <w:sz w:val="16"/>
              </w:rPr>
              <w:t>$4,368.00</w:t>
            </w:r>
          </w:p>
        </w:tc>
        <w:tc>
          <w:tcPr>
            <w:tcW w:type="dxa" w:w="6840"/>
            <w:tcMar>
              <w:top w:w="75" w:type="dxa"/>
              <w:start w:w="90" w:type="dxa"/>
              <w:bottom w:w="75" w:type="dxa"/>
              <w:end w:w="90" w:type="dxa"/>
            </w:tcMar>
            <w:vAlign w:val="top"/>
            <w:shd w:fill="F2F4F5"/>
          </w:tcPr>
          <w:p>
            <w:r>
              <w:rPr>
                <w:rFonts w:ascii="Noto Sans" w:hAnsi="Noto Sans"/>
                <w:b w:val="0"/>
                <w:color w:val="253038"/>
                <w:sz w:val="15"/>
              </w:rPr>
              <w:t>Six occupied Ledgport accounts have $4,368.00 in 91-120 and 120+ buckets; total balances are $13,166.40. Source: ar_aging_2026-07-31.xlsx, AR_Aging rows 23, 68, 113, 116, 147 and 158, tied to Aging schedule formulas.</w:t>
            </w:r>
          </w:p>
        </w:tc>
      </w:tr>
    </w:tbl>
    <w:tbl>
      <w:tblPr>
        <w:tblW w:type="auto" w:w="0"/>
        <w:jc w:val="center"/>
        <w:tblLayout w:type="autofit"/>
        <w:tblLook w:firstColumn="1" w:firstRow="1" w:lastColumn="0" w:lastRow="0" w:noHBand="0" w:noVBand="1" w:val="04A0"/>
      </w:tblPr>
      <w:tblGrid>
        <w:gridCol w:w="10454"/>
      </w:tblGrid>
      <w:tr>
        <w:tc>
          <w:tcPr>
            <w:tcW w:type="dxa" w:w="10454"/>
            <w:shd w:fill="E7EEF4"/>
            <w:tcMar>
              <w:top w:w="90" w:type="dxa"/>
              <w:start w:w="130" w:type="dxa"/>
              <w:bottom w:w="90" w:type="dxa"/>
              <w:end w:w="130" w:type="dxa"/>
            </w:tcMar>
          </w:tcPr>
          <w:p>
            <w:pPr>
              <w:spacing w:after="0"/>
            </w:pPr>
            <w:r>
              <w:rPr>
                <w:rFonts w:ascii="Noto Sans" w:hAnsi="Noto Sans"/>
                <w:b/>
                <w:color w:val="18324A"/>
                <w:sz w:val="18"/>
              </w:rPr>
              <w:t xml:space="preserve">Authority and remedy  </w:t>
            </w:r>
            <w:r>
              <w:rPr>
                <w:rFonts w:ascii="Noto Sans" w:hAnsi="Noto Sans"/>
                <w:color w:val="253038"/>
                <w:sz w:val="18"/>
              </w:rPr>
              <w:t>Resolution 2022-06 s.7.2 controls any conflict with earlier resolutions. Appeal 2018-3, p.3, directs prospective relief without displacing a good-faith assignee: expunge the invalid skip, preserve rank/date, and tender the first next matching vacancy.</w:t>
            </w:r>
          </w:p>
        </w:tc>
      </w:tr>
    </w:tbl>
    <w:p>
      <w:r>
        <w:br w:type="page"/>
      </w:r>
    </w:p>
    <w:p>
      <w:pPr>
        <w:spacing w:after="40"/>
      </w:pPr>
      <w:r>
        <w:rPr>
          <w:rFonts w:ascii="Noto Sans" w:hAnsi="Noto Sans"/>
          <w:b/>
          <w:color w:val="1C6673"/>
          <w:sz w:val="16"/>
        </w:rPr>
        <w:t>CHALDALE HARBOR DISTRICT</w:t>
      </w:r>
      <w:r>
        <w:rPr>
          <w:rFonts w:ascii="Noto Sans" w:hAnsi="Noto Sans"/>
          <w:color w:val="66727D"/>
          <w:sz w:val="16"/>
        </w:rPr>
        <w:t xml:space="preserve">  |  BOARD MEMORANDUM  |  RECOMMENDED ORDER</w:t>
      </w:r>
    </w:p>
    <w:p>
      <w:pPr>
        <w:pStyle w:val="Title"/>
        <w:spacing w:after="60"/>
      </w:pPr>
      <w:r>
        <w:t>Proposed Board direction</w:t>
      </w:r>
    </w:p>
    <w:tbl>
      <w:tblPr>
        <w:tblW w:type="auto" w:w="0"/>
        <w:jc w:val="center"/>
        <w:tblLayout w:type="fixed"/>
        <w:tblLook w:firstColumn="1" w:firstRow="1" w:lastColumn="0" w:lastRow="0" w:noHBand="0" w:noVBand="1" w:val="04A0"/>
      </w:tblPr>
      <w:tblGrid>
        <w:gridCol w:w="605"/>
        <w:gridCol w:w="9720"/>
      </w:tblGrid>
      <w:tr>
        <w:tc>
          <w:tcPr>
            <w:tcW w:type="dxa" w:w="5227"/>
            <w:shd w:fill="1C6673"/>
            <w:tcMar>
              <w:top w:w="70" w:type="dxa"/>
              <w:start w:w="70" w:type="dxa"/>
              <w:bottom w:w="70" w:type="dxa"/>
              <w:end w:w="70" w:type="dxa"/>
            </w:tcMar>
          </w:tcPr>
          <w:p>
            <w:pPr>
              <w:jc w:val="center"/>
            </w:pPr>
            <w:r>
              <w:rPr>
                <w:rFonts w:ascii="Noto Sans" w:hAnsi="Noto Sans"/>
                <w:b/>
                <w:color w:val="FFFFFF"/>
                <w:sz w:val="20"/>
              </w:rPr>
              <w:t>1</w:t>
            </w:r>
          </w:p>
        </w:tc>
        <w:tc>
          <w:tcPr>
            <w:tcW w:type="dxa" w:w="5227"/>
            <w:shd w:fill="E7EEF4"/>
            <w:tcMar>
              <w:top w:w="70" w:type="dxa"/>
              <w:start w:w="110" w:type="dxa"/>
              <w:bottom w:w="70" w:type="dxa"/>
              <w:end w:w="110" w:type="dxa"/>
            </w:tcMar>
          </w:tcPr>
          <w:p>
            <w:pPr>
              <w:spacing w:after="0"/>
            </w:pPr>
            <w:r>
              <w:rPr>
                <w:rFonts w:ascii="Noto Sans" w:hAnsi="Noto Sans"/>
                <w:b/>
                <w:color w:val="18324A"/>
                <w:sz w:val="17"/>
              </w:rPr>
              <w:t xml:space="preserve">Reconstruct before adjudicating. </w:t>
            </w:r>
            <w:r>
              <w:rPr>
                <w:rFonts w:ascii="Noto Sans" w:hAnsi="Noto Sans"/>
                <w:color w:val="253038"/>
                <w:sz w:val="17"/>
              </w:rPr>
              <w:t>Obtain the controlling day logs, date-of-offer register snapshots, original offers, and eventual assignee records for the five orphan offers and 124 skips that predate the current application date. Do not infer invalidity solely from the 2026 register.</w:t>
            </w:r>
          </w:p>
        </w:tc>
      </w:tr>
    </w:tbl>
    <w:p>
      <w:pPr>
        <w:spacing w:after="30"/>
      </w:pPr>
    </w:p>
    <w:tbl>
      <w:tblPr>
        <w:tblW w:type="auto" w:w="0"/>
        <w:jc w:val="center"/>
        <w:tblLayout w:type="fixed"/>
        <w:tblLook w:firstColumn="1" w:firstRow="1" w:lastColumn="0" w:lastRow="0" w:noHBand="0" w:noVBand="1" w:val="04A0"/>
      </w:tblPr>
      <w:tblGrid>
        <w:gridCol w:w="605"/>
        <w:gridCol w:w="9720"/>
      </w:tblGrid>
      <w:tr>
        <w:tc>
          <w:tcPr>
            <w:tcW w:type="dxa" w:w="5227"/>
            <w:shd w:fill="1C6673"/>
            <w:tcMar>
              <w:top w:w="70" w:type="dxa"/>
              <w:start w:w="70" w:type="dxa"/>
              <w:bottom w:w="70" w:type="dxa"/>
              <w:end w:w="70" w:type="dxa"/>
            </w:tcMar>
          </w:tcPr>
          <w:p>
            <w:pPr>
              <w:jc w:val="center"/>
            </w:pPr>
            <w:r>
              <w:rPr>
                <w:rFonts w:ascii="Noto Sans" w:hAnsi="Noto Sans"/>
                <w:b/>
                <w:color w:val="FFFFFF"/>
                <w:sz w:val="20"/>
              </w:rPr>
              <w:t>2</w:t>
            </w:r>
          </w:p>
        </w:tc>
        <w:tc>
          <w:tcPr>
            <w:tcW w:type="dxa" w:w="5227"/>
            <w:shd w:fill="E7EEF4"/>
            <w:tcMar>
              <w:top w:w="70" w:type="dxa"/>
              <w:start w:w="110" w:type="dxa"/>
              <w:bottom w:w="70" w:type="dxa"/>
              <w:end w:w="110" w:type="dxa"/>
            </w:tcMar>
          </w:tcPr>
          <w:p>
            <w:pPr>
              <w:spacing w:after="0"/>
            </w:pPr>
            <w:r>
              <w:rPr>
                <w:rFonts w:ascii="Noto Sans" w:hAnsi="Noto Sans"/>
                <w:b/>
                <w:color w:val="18324A"/>
                <w:sz w:val="17"/>
              </w:rPr>
              <w:t xml:space="preserve">Apply priority within matching class. </w:t>
            </w:r>
            <w:r>
              <w:rPr>
                <w:rFonts w:ascii="Noto Sans" w:hAnsi="Noto Sans"/>
                <w:color w:val="253038"/>
                <w:sz w:val="17"/>
              </w:rPr>
              <w:t>Use Queue Exceptions column A, sorted by historical rank, only after identity and historical eligibility are confirmed. Rank does not override basin, size, vessel-fit, or recorded preference. Do not combine unlike matching classes into a single remedial queue.</w:t>
            </w:r>
          </w:p>
        </w:tc>
      </w:tr>
    </w:tbl>
    <w:p>
      <w:pPr>
        <w:spacing w:after="30"/>
      </w:pPr>
    </w:p>
    <w:tbl>
      <w:tblPr>
        <w:tblW w:type="auto" w:w="0"/>
        <w:jc w:val="center"/>
        <w:tblLayout w:type="fixed"/>
        <w:tblLook w:firstColumn="1" w:firstRow="1" w:lastColumn="0" w:lastRow="0" w:noHBand="0" w:noVBand="1" w:val="04A0"/>
      </w:tblPr>
      <w:tblGrid>
        <w:gridCol w:w="605"/>
        <w:gridCol w:w="9720"/>
      </w:tblGrid>
      <w:tr>
        <w:tc>
          <w:tcPr>
            <w:tcW w:type="dxa" w:w="5227"/>
            <w:shd w:fill="1C6673"/>
            <w:tcMar>
              <w:top w:w="70" w:type="dxa"/>
              <w:start w:w="70" w:type="dxa"/>
              <w:bottom w:w="70" w:type="dxa"/>
              <w:end w:w="70" w:type="dxa"/>
            </w:tcMar>
          </w:tcPr>
          <w:p>
            <w:pPr>
              <w:jc w:val="center"/>
            </w:pPr>
            <w:r>
              <w:rPr>
                <w:rFonts w:ascii="Noto Sans" w:hAnsi="Noto Sans"/>
                <w:b/>
                <w:color w:val="FFFFFF"/>
                <w:sz w:val="20"/>
              </w:rPr>
              <w:t>3</w:t>
            </w:r>
          </w:p>
        </w:tc>
        <w:tc>
          <w:tcPr>
            <w:tcW w:type="dxa" w:w="5227"/>
            <w:shd w:fill="E7EEF4"/>
            <w:tcMar>
              <w:top w:w="70" w:type="dxa"/>
              <w:start w:w="110" w:type="dxa"/>
              <w:bottom w:w="70" w:type="dxa"/>
              <w:end w:w="110" w:type="dxa"/>
            </w:tcMar>
          </w:tcPr>
          <w:p>
            <w:pPr>
              <w:spacing w:after="0"/>
            </w:pPr>
            <w:r>
              <w:rPr>
                <w:rFonts w:ascii="Noto Sans" w:hAnsi="Noto Sans"/>
                <w:b/>
                <w:color w:val="18324A"/>
                <w:sz w:val="17"/>
              </w:rPr>
              <w:t xml:space="preserve">Remedy failed support prospectively. </w:t>
            </w:r>
            <w:r>
              <w:rPr>
                <w:rFonts w:ascii="Noto Sans" w:hAnsi="Noto Sans"/>
                <w:color w:val="253038"/>
                <w:sz w:val="17"/>
              </w:rPr>
              <w:t>For any record without same-day support, expunge the skip, preserve rank and application date, and tender the first next matching vacancy. Start with the three confirmed cover-only files: WL-02618, WL-03044, and WL-03390, subject to source reconciliation. Retrieve and decide the other 16 CSV-N files the same way.</w:t>
            </w:r>
          </w:p>
        </w:tc>
      </w:tr>
    </w:tbl>
    <w:p>
      <w:pPr>
        <w:spacing w:after="30"/>
      </w:pPr>
    </w:p>
    <w:tbl>
      <w:tblPr>
        <w:tblW w:type="auto" w:w="0"/>
        <w:jc w:val="center"/>
        <w:tblLayout w:type="fixed"/>
        <w:tblLook w:firstColumn="1" w:firstRow="1" w:lastColumn="0" w:lastRow="0" w:noHBand="0" w:noVBand="1" w:val="04A0"/>
      </w:tblPr>
      <w:tblGrid>
        <w:gridCol w:w="605"/>
        <w:gridCol w:w="9720"/>
      </w:tblGrid>
      <w:tr>
        <w:tc>
          <w:tcPr>
            <w:tcW w:type="dxa" w:w="5227"/>
            <w:shd w:fill="1C6673"/>
            <w:tcMar>
              <w:top w:w="70" w:type="dxa"/>
              <w:start w:w="70" w:type="dxa"/>
              <w:bottom w:w="70" w:type="dxa"/>
              <w:end w:w="70" w:type="dxa"/>
            </w:tcMar>
          </w:tcPr>
          <w:p>
            <w:pPr>
              <w:jc w:val="center"/>
            </w:pPr>
            <w:r>
              <w:rPr>
                <w:rFonts w:ascii="Noto Sans" w:hAnsi="Noto Sans"/>
                <w:b/>
                <w:color w:val="FFFFFF"/>
                <w:sz w:val="20"/>
              </w:rPr>
              <w:t>4</w:t>
            </w:r>
          </w:p>
        </w:tc>
        <w:tc>
          <w:tcPr>
            <w:tcW w:type="dxa" w:w="5227"/>
            <w:shd w:fill="E7EEF4"/>
            <w:tcMar>
              <w:top w:w="70" w:type="dxa"/>
              <w:start w:w="110" w:type="dxa"/>
              <w:bottom w:w="70" w:type="dxa"/>
              <w:end w:w="110" w:type="dxa"/>
            </w:tcMar>
          </w:tcPr>
          <w:p>
            <w:pPr>
              <w:spacing w:after="0"/>
            </w:pPr>
            <w:r>
              <w:rPr>
                <w:rFonts w:ascii="Noto Sans" w:hAnsi="Noto Sans"/>
                <w:b/>
                <w:color w:val="18324A"/>
                <w:sz w:val="17"/>
              </w:rPr>
              <w:t xml:space="preserve">Verify length instruments. </w:t>
            </w:r>
            <w:r>
              <w:rPr>
                <w:rFonts w:ascii="Noto Sans" w:hAnsi="Noto Sans"/>
                <w:color w:val="253038"/>
                <w:sz w:val="17"/>
              </w:rPr>
              <w:t>Produce the signed instrument named for WL-01550 (rank 550), WL-02120 (1120), WL-02167 (1167), WL-03054 (2054), and WL-03455 (2455). If it was not on file when the amendment and skip were entered, disregard the amended LOA and apply the prospective remedy. The supplied Dana Whitford and Laura Beesley certificates do not support these five skips.</w:t>
            </w:r>
          </w:p>
        </w:tc>
      </w:tr>
    </w:tbl>
    <w:p>
      <w:pPr>
        <w:spacing w:after="30"/>
      </w:pPr>
    </w:p>
    <w:tbl>
      <w:tblPr>
        <w:tblW w:type="auto" w:w="0"/>
        <w:jc w:val="center"/>
        <w:tblLayout w:type="fixed"/>
        <w:tblLook w:firstColumn="1" w:firstRow="1" w:lastColumn="0" w:lastRow="0" w:noHBand="0" w:noVBand="1" w:val="04A0"/>
      </w:tblPr>
      <w:tblGrid>
        <w:gridCol w:w="605"/>
        <w:gridCol w:w="9720"/>
      </w:tblGrid>
      <w:tr>
        <w:tc>
          <w:tcPr>
            <w:tcW w:type="dxa" w:w="5227"/>
            <w:shd w:fill="1C6673"/>
            <w:tcMar>
              <w:top w:w="70" w:type="dxa"/>
              <w:start w:w="70" w:type="dxa"/>
              <w:bottom w:w="70" w:type="dxa"/>
              <w:end w:w="70" w:type="dxa"/>
            </w:tcMar>
          </w:tcPr>
          <w:p>
            <w:pPr>
              <w:jc w:val="center"/>
            </w:pPr>
            <w:r>
              <w:rPr>
                <w:rFonts w:ascii="Noto Sans" w:hAnsi="Noto Sans"/>
                <w:b/>
                <w:color w:val="FFFFFF"/>
                <w:sz w:val="20"/>
              </w:rPr>
              <w:t>5</w:t>
            </w:r>
          </w:p>
        </w:tc>
        <w:tc>
          <w:tcPr>
            <w:tcW w:type="dxa" w:w="5227"/>
            <w:shd w:fill="E7EEF4"/>
            <w:tcMar>
              <w:top w:w="70" w:type="dxa"/>
              <w:start w:w="110" w:type="dxa"/>
              <w:bottom w:w="70" w:type="dxa"/>
              <w:end w:w="110" w:type="dxa"/>
            </w:tcMar>
          </w:tcPr>
          <w:p>
            <w:pPr>
              <w:spacing w:after="0"/>
            </w:pPr>
            <w:r>
              <w:rPr>
                <w:rFonts w:ascii="Noto Sans" w:hAnsi="Noto Sans"/>
                <w:b/>
                <w:color w:val="18324A"/>
                <w:sz w:val="17"/>
              </w:rPr>
              <w:t xml:space="preserve">Correct billing and collections. </w:t>
            </w:r>
            <w:r>
              <w:rPr>
                <w:rFonts w:ascii="Noto Sans" w:hAnsi="Noto Sans"/>
                <w:color w:val="253038"/>
                <w:sz w:val="17"/>
              </w:rPr>
              <w:t>Set VB-0208 to 32 billable feet, stop the $83.20 monthly pre-tax overcharge, and calculate a credit. The formula schedule shows $1,913.60 for 23 months from October 2024 through August 2026. Begin collections action on the six aging accounts for $4,368.00 over 90 days, subject to ordinary notice and payment-plan rules.</w:t>
            </w:r>
          </w:p>
        </w:tc>
      </w:tr>
    </w:tbl>
    <w:p>
      <w:pPr>
        <w:spacing w:after="30"/>
      </w:pPr>
    </w:p>
    <w:tbl>
      <w:tblPr>
        <w:tblW w:type="auto" w:w="0"/>
        <w:jc w:val="center"/>
        <w:tblLayout w:type="fixed"/>
        <w:tblLook w:firstColumn="1" w:firstRow="1" w:lastColumn="0" w:lastRow="0" w:noHBand="0" w:noVBand="1" w:val="04A0"/>
      </w:tblPr>
      <w:tblGrid>
        <w:gridCol w:w="605"/>
        <w:gridCol w:w="9720"/>
      </w:tblGrid>
      <w:tr>
        <w:tc>
          <w:tcPr>
            <w:tcW w:type="dxa" w:w="5227"/>
            <w:shd w:fill="1C6673"/>
            <w:tcMar>
              <w:top w:w="70" w:type="dxa"/>
              <w:start w:w="70" w:type="dxa"/>
              <w:bottom w:w="70" w:type="dxa"/>
              <w:end w:w="70" w:type="dxa"/>
            </w:tcMar>
          </w:tcPr>
          <w:p>
            <w:pPr>
              <w:jc w:val="center"/>
            </w:pPr>
            <w:r>
              <w:rPr>
                <w:rFonts w:ascii="Noto Sans" w:hAnsi="Noto Sans"/>
                <w:b/>
                <w:color w:val="FFFFFF"/>
                <w:sz w:val="20"/>
              </w:rPr>
              <w:t>6</w:t>
            </w:r>
          </w:p>
        </w:tc>
        <w:tc>
          <w:tcPr>
            <w:tcW w:type="dxa" w:w="5227"/>
            <w:shd w:fill="E7EEF4"/>
            <w:tcMar>
              <w:top w:w="70" w:type="dxa"/>
              <w:start w:w="110" w:type="dxa"/>
              <w:bottom w:w="70" w:type="dxa"/>
              <w:end w:w="110" w:type="dxa"/>
            </w:tcMar>
          </w:tcPr>
          <w:p>
            <w:pPr>
              <w:spacing w:after="0"/>
            </w:pPr>
            <w:r>
              <w:rPr>
                <w:rFonts w:ascii="Noto Sans" w:hAnsi="Noto Sans"/>
                <w:b/>
                <w:color w:val="18324A"/>
                <w:sz w:val="17"/>
              </w:rPr>
              <w:t xml:space="preserve">Close population gaps. </w:t>
            </w:r>
            <w:r>
              <w:rPr>
                <w:rFonts w:ascii="Noto Sans" w:hAnsi="Noto Sans"/>
                <w:color w:val="253038"/>
                <w:sz w:val="17"/>
              </w:rPr>
              <w:t>Produce the complete August billing run plus agreement check-in blocks for 317 occupied Gullwing/Salmonberry slips absent from August MONTHLY_MOORAGE rows, and a July 31 aging extract for all occupied accounts. Until then, no customer-level missing-billing variance or district-wide delinquency conclusion is supportable.</w:t>
            </w:r>
          </w:p>
        </w:tc>
      </w:tr>
    </w:tbl>
    <w:p>
      <w:pPr>
        <w:spacing w:after="30"/>
      </w:pPr>
    </w:p>
    <w:p>
      <w:pPr>
        <w:pStyle w:val="Heading1"/>
      </w:pPr>
      <w:r>
        <w:t>Record hierarchy and limitations</w:t>
      </w:r>
    </w:p>
    <w:p>
      <w:r>
        <w:rPr>
          <w:b/>
        </w:rPr>
        <w:t xml:space="preserve">Billing. </w:t>
      </w:r>
      <w:r>
        <w:t>The specific signed VB-0208 agreement and matching 31.4-ft certificate govern over conflicting slip_inventory_2026-08.csv row 293 and applicant IDs in the exports, absent a later executed reassignment. The rate is $10.40 covered under Resolution 2022-06 ss.1.1-2.1; billable feet are max(32, ceil(31.4)) = 32 under Tariff Resolution 2019-14 ss.1.4 and 2.4.</w:t>
      </w:r>
    </w:p>
    <w:p>
      <w:r>
        <w:rPr>
          <w:b/>
        </w:rPr>
        <w:t xml:space="preserve">Aging. </w:t>
      </w:r>
      <w:r>
        <w:t>ar_aging_2026-07-31.xlsx governs the requested point-in-time test even though billing_transactions_2022_2026.csv marks July invoices paid. The ledger has only 260 accounts versus 1,086 occupied inventory slips, so the six are complete only within the supplied ledger.</w:t>
      </w:r>
    </w:p>
    <w:p>
      <w:r>
        <w:rPr>
          <w:b/>
        </w:rPr>
        <w:t xml:space="preserve">Documentation. </w:t>
      </w:r>
      <w:r>
        <w:t>A CSV 'Y' is treated as an attachment claim for screening, not proof of same-day assembly. The 288 claimed attachments not individually furnished cannot be certified file-by-file. Original justification files and day logs would settle that limitation. WL-02211's 2022-09-14 skip is outside the requested period.</w:t>
      </w:r>
    </w:p>
    <w:tbl>
      <w:tblPr>
        <w:tblW w:type="auto" w:w="0"/>
        <w:jc w:val="center"/>
        <w:tblLayout w:type="autofit"/>
        <w:tblLook w:firstColumn="1" w:firstRow="1" w:lastColumn="0" w:lastRow="0" w:noHBand="0" w:noVBand="1" w:val="04A0"/>
      </w:tblPr>
      <w:tblGrid>
        <w:gridCol w:w="10454"/>
      </w:tblGrid>
      <w:tr>
        <w:tc>
          <w:tcPr>
            <w:tcW w:type="dxa" w:w="10454"/>
            <w:shd w:fill="E2F0D9"/>
            <w:tcMar>
              <w:top w:w="90" w:type="dxa"/>
              <w:start w:w="130" w:type="dxa"/>
              <w:bottom w:w="90" w:type="dxa"/>
              <w:end w:w="130" w:type="dxa"/>
            </w:tcMar>
          </w:tcPr>
          <w:p>
            <w:pPr>
              <w:spacing w:after="0"/>
            </w:pPr>
            <w:r>
              <w:rPr>
                <w:rFonts w:ascii="Noto Sans" w:hAnsi="Noto Sans"/>
                <w:b/>
                <w:color w:val="18324A"/>
                <w:sz w:val="18"/>
              </w:rPr>
              <w:t xml:space="preserve">Workbook reference  </w:t>
            </w:r>
            <w:r>
              <w:rPr>
                <w:rFonts w:ascii="Noto Sans" w:hAnsi="Noto Sans"/>
                <w:color w:val="253038"/>
                <w:sz w:val="18"/>
              </w:rPr>
              <w:t>chaldale_moorage_audit_2026-08.xlsx: Summary gives formula totals; Queue Exceptions contains all 309 screened skips and Board review order; Billing Reconciliations shows charge arithmetic and population controls; Aging gives the six ledger accounts and formula totals.</w:t>
            </w:r>
          </w:p>
        </w:tc>
      </w:tr>
    </w:tbl>
    <w:p>
      <w:pPr>
        <w:spacing w:before="80" w:after="0"/>
      </w:pPr>
      <w:r>
        <w:rPr>
          <w:rFonts w:ascii="Noto Sans" w:hAnsi="Noto Sans"/>
          <w:i/>
          <w:color w:val="66727D"/>
          <w:sz w:val="15"/>
        </w:rPr>
        <w:t>Prepared from District records listed in the audit workbook. Amounts are pre-tax unless stated. Review copy for Board consideration.</w:t>
      </w:r>
    </w:p>
    <w:sectPr w:rsidR="00FC693F" w:rsidRPr="0006063C" w:rsidSect="00034616">
      <w:footerReference w:type="default" r:id="rId9"/>
      <w:pgSz w:w="12240" w:h="15840"/>
      <w:pgMar w:top="749" w:right="893" w:bottom="720"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6"/>
      </w:rPr>
      <w:t xml:space="preserve">Page </w:t>
    </w:r>
    <w:fldSimple w:instr="PAGE"/>
    <w:r>
      <w:rPr>
        <w:sz w:val="16"/>
      </w:rPr>
      <w:t xml:space="preserve"> of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Noto Sans" w:hAnsi="Noto Sans"/>
      <w:color w:val="2C35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18324A"/>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1C66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