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MOORAGE AUDIT</w:t>
      </w:r>
    </w:p>
    <w:p>
      <w:pPr>
        <w:spacing w:after="120"/>
      </w:pPr>
      <w:r>
        <w:rPr>
          <w:color w:val="64748B"/>
          <w:sz w:val="20"/>
        </w:rPr>
        <w:t>Board memorandum | Queue integrity, billing completeness, and delinquency</w:t>
      </w:r>
    </w:p>
    <w:tbl>
      <w:tblPr>
        <w:tblW w:type="auto" w:w="0"/>
        <w:tblLayout w:type="fixed"/>
        <w:tblLook w:firstColumn="1" w:firstRow="1" w:lastColumn="0" w:lastRow="0" w:noHBand="0" w:noVBand="1" w:val="04A0"/>
      </w:tblPr>
      <w:tblGrid>
        <w:gridCol w:w="5328"/>
        <w:gridCol w:w="5328"/>
      </w:tblGrid>
      <w:tr>
        <w:tc>
          <w:tcPr>
            <w:tcW w:type="dxa" w:w="5328"/>
            <w:shd w:fill="E8F0F8"/>
            <w:tcMar>
              <w:top w:w="80" w:type="dxa"/>
              <w:start w:w="90" w:type="dxa"/>
              <w:bottom w:w="80" w:type="dxa"/>
              <w:end w:w="90" w:type="dxa"/>
            </w:tcMar>
          </w:tcPr>
          <w:p>
            <w:pPr>
              <w:spacing w:after="0"/>
            </w:pPr>
            <w:r>
              <w:rPr>
                <w:b/>
                <w:color w:val="0F766E"/>
              </w:rPr>
              <w:t xml:space="preserve">TO  </w:t>
            </w:r>
            <w:r>
              <w:t>Board of Harbor Commissioners</w:t>
            </w:r>
          </w:p>
        </w:tc>
        <w:tc>
          <w:tcPr>
            <w:tcW w:type="dxa" w:w="5328"/>
            <w:shd w:fill="F8FAFC"/>
            <w:tcMar>
              <w:top w:w="80" w:type="dxa"/>
              <w:start w:w="90" w:type="dxa"/>
              <w:bottom w:w="80" w:type="dxa"/>
              <w:end w:w="90" w:type="dxa"/>
            </w:tcMar>
          </w:tcPr>
          <w:p>
            <w:pPr>
              <w:spacing w:after="0"/>
            </w:pPr>
            <w:r>
              <w:rPr>
                <w:b/>
                <w:color w:val="0F766E"/>
              </w:rPr>
              <w:t xml:space="preserve">THROUGH  </w:t>
            </w:r>
            <w:r>
              <w:t>Ginny Marina, Administrator</w:t>
            </w:r>
          </w:p>
        </w:tc>
      </w:tr>
      <w:tr>
        <w:tc>
          <w:tcPr>
            <w:tcW w:type="dxa" w:w="5328"/>
            <w:shd w:fill="E8F0F8"/>
            <w:tcMar>
              <w:top w:w="80" w:type="dxa"/>
              <w:start w:w="90" w:type="dxa"/>
              <w:bottom w:w="80" w:type="dxa"/>
              <w:end w:w="90" w:type="dxa"/>
            </w:tcMar>
          </w:tcPr>
          <w:p>
            <w:pPr>
              <w:spacing w:after="0"/>
            </w:pPr>
            <w:r>
              <w:rPr>
                <w:b/>
                <w:color w:val="0F766E"/>
              </w:rPr>
              <w:t xml:space="preserve">FROM  </w:t>
            </w:r>
            <w:r>
              <w:t>Moorage Counter Clerk</w:t>
            </w:r>
          </w:p>
        </w:tc>
        <w:tc>
          <w:tcPr>
            <w:tcW w:type="dxa" w:w="5328"/>
            <w:shd w:fill="F8FAFC"/>
            <w:tcMar>
              <w:top w:w="80" w:type="dxa"/>
              <w:start w:w="90" w:type="dxa"/>
              <w:bottom w:w="80" w:type="dxa"/>
              <w:end w:w="90" w:type="dxa"/>
            </w:tcMar>
          </w:tcPr>
          <w:p>
            <w:pPr>
              <w:spacing w:after="0"/>
            </w:pPr>
            <w:r>
              <w:rPr>
                <w:b/>
                <w:color w:val="0F766E"/>
              </w:rPr>
              <w:t xml:space="preserve">DATE  </w:t>
            </w:r>
            <w:r>
              <w:t>1 August 2026</w:t>
            </w:r>
          </w:p>
        </w:tc>
      </w:tr>
      <w:tr>
        <w:tc>
          <w:tcPr>
            <w:tcW w:type="dxa" w:w="5328"/>
            <w:shd w:fill="E8F0F8"/>
            <w:tcMar>
              <w:top w:w="80" w:type="dxa"/>
              <w:start w:w="90" w:type="dxa"/>
              <w:bottom w:w="80" w:type="dxa"/>
              <w:end w:w="90" w:type="dxa"/>
            </w:tcMar>
          </w:tcPr>
          <w:p>
            <w:pPr>
              <w:spacing w:after="0"/>
            </w:pPr>
            <w:r>
              <w:rPr>
                <w:b/>
                <w:color w:val="0F766E"/>
              </w:rPr>
              <w:t xml:space="preserve">RE  </w:t>
            </w:r>
            <w:r>
              <w:t>Moorage audit: queue integrity, billing, and aging</w:t>
            </w:r>
          </w:p>
        </w:tc>
        <w:tc>
          <w:tcPr>
            <w:tcW w:type="dxa" w:w="5328"/>
            <w:shd w:fill="F8FAFC"/>
            <w:tcMar>
              <w:top w:w="80" w:type="dxa"/>
              <w:start w:w="90" w:type="dxa"/>
              <w:bottom w:w="80" w:type="dxa"/>
              <w:end w:w="90" w:type="dxa"/>
            </w:tcMar>
          </w:tcPr>
          <w:p>
            <w:pPr>
              <w:spacing w:after="0"/>
            </w:pPr>
            <w:r>
              <w:rPr>
                <w:b/>
                <w:color w:val="0F766E"/>
              </w:rPr>
              <w:t xml:space="preserve">ACTION  </w:t>
            </w:r>
            <w:r>
              <w:t>Direct corrective review and prospective relief protocol</w:t>
            </w:r>
          </w:p>
        </w:tc>
      </w:tr>
    </w:tbl>
    <w:p>
      <w:pPr>
        <w:pStyle w:val="Heading1"/>
      </w:pPr>
      <w:r>
        <w:t>Recommendation</w:t>
      </w:r>
    </w:p>
    <w:tbl>
      <w:tblPr>
        <w:tblW w:type="auto" w:w="0"/>
        <w:tblLook w:firstColumn="1" w:firstRow="1" w:lastColumn="0" w:lastRow="0" w:noHBand="0" w:noVBand="1" w:val="04A0"/>
      </w:tblPr>
      <w:tblGrid>
        <w:gridCol w:w="10656"/>
      </w:tblGrid>
      <w:tr>
        <w:tc>
          <w:tcPr>
            <w:tcW w:type="dxa" w:w="10656"/>
            <w:shd w:fill="FFF3D6"/>
            <w:tcMar>
              <w:top w:w="110" w:type="dxa"/>
              <w:start w:w="140" w:type="dxa"/>
              <w:bottom w:w="110" w:type="dxa"/>
              <w:end w:w="140" w:type="dxa"/>
            </w:tcMar>
          </w:tcPr>
          <w:p>
            <w:pPr>
              <w:spacing w:after="0"/>
            </w:pPr>
            <w:r>
              <w:rPr>
                <w:b/>
                <w:color w:val="17324D"/>
              </w:rPr>
              <w:t xml:space="preserve">BOARD ACTION REQUESTED.  </w:t>
            </w:r>
            <w:r>
              <w:t>Direct a historical-record review for 19 clear queue documentation exceptions; preserve rank order and use prospective first-matching-vacancy relief only after identity, status, preferences, and day-log records are verified. Also require a complete active-billing export, current check-in measurement support, and a complete invoice-level aging as of 1 August 2026.</w:t>
            </w:r>
          </w:p>
        </w:tc>
      </w:tr>
    </w:tbl>
    <w:p>
      <w:pPr>
        <w:pStyle w:val="Heading1"/>
      </w:pPr>
      <w:r>
        <w:t>What the audit found</w:t>
      </w:r>
    </w:p>
    <w:p>
      <w:r>
        <w:rPr>
          <w:b/>
        </w:rPr>
        <w:t xml:space="preserve">Queue. </w:t>
      </w:r>
      <w:r>
        <w:t>The skip register contains 309 events dated 1 January 2023 through 31 July 2026. Nineteen rows expressly state documentation_attached=N, so the District cannot meet Standing Order 15-3 ss.3.2-3.3 on the supplied record. The exceptions comprise 12 vessel-fit, three declined-prior-offer, two preference-mismatch, and two not-current skips. The applicant sequence is shown in rank_at_offer order in the workbook's Queue Exceptions tab.</w:t>
      </w:r>
    </w:p>
    <w:p>
      <w:r>
        <w:rPr>
          <w:b/>
        </w:rPr>
        <w:t xml:space="preserve">Length amendments. </w:t>
      </w:r>
      <w:r>
        <w:t>No separate Resolution 2022-06 s.4.3 exception was found. For the 15 in-period skips whose applicants had a prior post-effective LOA amendment, the latest amendment entry cites either an MC-number or a yard haul-out sheet. The Foldview sheet for WL-03102 independently confirms 35.8 feet measured on the hard on 29 June 2025.</w:t>
      </w:r>
    </w:p>
    <w:p>
      <w:r>
        <w:rPr>
          <w:b/>
        </w:rPr>
        <w:t xml:space="preserve">Billing accuracy and completeness. </w:t>
      </w:r>
      <w:r>
        <w:t>All 769 supplied 1 August monthly postings use the adopted $10.40 covered or $7.55 open foot-month rate. Each billed length equals the greater of nominal slip length or the current inventory LOA rounded up, and each posted pre-tax amount recomputes exactly: observed variance is $0.00. However, the inventory contains 1,086 occupied slips. The supplied export has no August posting for 317 occupied slips, all in Gullwing (127) and Salmonberry (190). Applying the same formula to inventory fields produces an indicated pre-tax variance of ($120,158.25). This is a completeness indicator, not a receivable, because current agreement/check-in blocks and possible prepayment records were not supplied.</w:t>
      </w:r>
    </w:p>
    <w:p>
      <w:r>
        <w:rPr>
          <w:b/>
        </w:rPr>
        <w:t xml:space="preserve">Aging. </w:t>
      </w:r>
      <w:r>
        <w:t>The July 31 ledger identifies six occupied slips with balances in the 91-120 or 120+ buckets. Their older-than-90 balance is $4,368.00, computed as $2,932.80 + $1,435.20. Their all-bucket balance is $13,166.40. The six rows tie, but the aging file contains only 260 accounts and therefore is not a complete active-slip census.</w:t>
      </w:r>
    </w:p>
    <w:p>
      <w:pPr>
        <w:pStyle w:val="Heading1"/>
      </w:pPr>
      <w:r>
        <w:t>Governing basis</w:t>
      </w:r>
    </w:p>
    <w:p>
      <w:pPr>
        <w:pStyle w:val="ListBullet"/>
        <w:spacing w:after="50"/>
        <w:ind w:left="274" w:hanging="173"/>
      </w:pPr>
      <w:r>
        <w:t>Standing Order 15-3 ss.3.2-3.3 requires the cover, prescribed supporting record, and correspondence to be assembled on the day the slip is worked. A cover alone does not comply.</w:t>
      </w:r>
    </w:p>
    <w:p>
      <w:pPr>
        <w:pStyle w:val="ListBullet"/>
        <w:spacing w:after="50"/>
        <w:ind w:left="274" w:hanging="173"/>
      </w:pPr>
      <w:r>
        <w:t>Resolution 2022-06 s.4.3 requires a signed measurement certificate or yard haul-out measurement sheet for LOA amendments entered on or after 1 August 2022.</w:t>
      </w:r>
    </w:p>
    <w:p>
      <w:pPr>
        <w:pStyle w:val="ListBullet"/>
        <w:spacing w:after="50"/>
        <w:ind w:left="274" w:hanging="173"/>
      </w:pPr>
      <w:r>
        <w:t>Tariff Resolution 2019-14 s.1(4) defines billable length as the greater of rounded-up check-in LOA or nominal slip length; Resolution 2022-06 ss.1-2 sets the post-adoption rates.</w:t>
      </w:r>
    </w:p>
    <w:p>
      <w:pPr>
        <w:pStyle w:val="ListBullet"/>
        <w:spacing w:after="50"/>
        <w:ind w:left="274" w:hanging="173"/>
      </w:pPr>
      <w:r>
        <w:t>Appeal 2018-3 places the burden on the District, rejects later reconstruction as a cure, and favors prospective relief without disturbing a good-faith assignee.</w:t>
      </w:r>
    </w:p>
    <w:p>
      <w:r>
        <w:br w:type="page"/>
      </w:r>
    </w:p>
    <w:p>
      <w:pPr>
        <w:pStyle w:val="Heading1"/>
      </w:pPr>
      <w:r>
        <w:t>Board considerations</w:t>
      </w:r>
    </w:p>
    <w:tbl>
      <w:tblPr>
        <w:tblW w:type="auto" w:w="0"/>
        <w:tblLayout w:type="fixed"/>
        <w:tblLook w:firstColumn="1" w:firstRow="1" w:lastColumn="0" w:lastRow="0" w:noHBand="0" w:noVBand="1" w:val="04A0"/>
      </w:tblPr>
      <w:tblGrid>
        <w:gridCol w:w="547"/>
        <w:gridCol w:w="3240"/>
        <w:gridCol w:w="6408"/>
      </w:tblGrid>
      <w:tr>
        <w:trPr>
          <w:tblHeader w:val="true"/>
        </w:trPr>
        <w:tc>
          <w:tcPr>
            <w:tcW w:type="dxa" w:w="547"/>
            <w:shd w:fill="17324D"/>
            <w:tcMar>
              <w:top w:w="80" w:type="dxa"/>
              <w:start w:w="90" w:type="dxa"/>
              <w:bottom w:w="80" w:type="dxa"/>
              <w:end w:w="90" w:type="dxa"/>
            </w:tcMar>
          </w:tcPr>
          <w:p>
            <w:r>
              <w:rPr>
                <w:b/>
                <w:color w:val="FFFFFF"/>
                <w:sz w:val="17"/>
              </w:rPr>
              <w:t>#</w:t>
            </w:r>
          </w:p>
        </w:tc>
        <w:tc>
          <w:tcPr>
            <w:tcW w:type="dxa" w:w="3240"/>
            <w:shd w:fill="17324D"/>
            <w:tcMar>
              <w:top w:w="80" w:type="dxa"/>
              <w:start w:w="90" w:type="dxa"/>
              <w:bottom w:w="80" w:type="dxa"/>
              <w:end w:w="90" w:type="dxa"/>
            </w:tcMar>
          </w:tcPr>
          <w:p>
            <w:r>
              <w:rPr>
                <w:b/>
                <w:color w:val="FFFFFF"/>
                <w:sz w:val="17"/>
              </w:rPr>
              <w:t>Direction</w:t>
            </w:r>
          </w:p>
        </w:tc>
        <w:tc>
          <w:tcPr>
            <w:tcW w:type="dxa" w:w="6408"/>
            <w:shd w:fill="17324D"/>
            <w:tcMar>
              <w:top w:w="80" w:type="dxa"/>
              <w:start w:w="90" w:type="dxa"/>
              <w:bottom w:w="80" w:type="dxa"/>
              <w:end w:w="90" w:type="dxa"/>
            </w:tcMar>
          </w:tcPr>
          <w:p>
            <w:r>
              <w:rPr>
                <w:b/>
                <w:color w:val="FFFFFF"/>
                <w:sz w:val="17"/>
              </w:rPr>
              <w:t>Reason and implementation</w:t>
            </w:r>
          </w:p>
        </w:tc>
      </w:tr>
      <w:tr>
        <w:tc>
          <w:tcPr>
            <w:tcW w:type="dxa" w:w="547"/>
            <w:shd w:fill="FFFFFF"/>
            <w:tcMar>
              <w:top w:w="90" w:type="dxa"/>
              <w:start w:w="90" w:type="dxa"/>
              <w:bottom w:w="90" w:type="dxa"/>
              <w:end w:w="90" w:type="dxa"/>
            </w:tcMar>
            <w:vAlign w:val="top"/>
          </w:tcPr>
          <w:p>
            <w:pPr>
              <w:jc w:val="center"/>
            </w:pPr>
            <w:r>
              <w:rPr>
                <w:b/>
              </w:rPr>
              <w:t>1</w:t>
            </w:r>
          </w:p>
        </w:tc>
        <w:tc>
          <w:tcPr>
            <w:tcW w:type="dxa" w:w="3240"/>
            <w:shd w:fill="FFFFFF"/>
            <w:tcMar>
              <w:top w:w="90" w:type="dxa"/>
              <w:start w:w="90" w:type="dxa"/>
              <w:bottom w:w="90" w:type="dxa"/>
              <w:end w:w="90" w:type="dxa"/>
            </w:tcMar>
            <w:vAlign w:val="top"/>
          </w:tcPr>
          <w:p>
            <w:r>
              <w:rPr>
                <w:b/>
              </w:rPr>
              <w:t>Authorize record verification</w:t>
            </w:r>
          </w:p>
        </w:tc>
        <w:tc>
          <w:tcPr>
            <w:tcW w:type="dxa" w:w="6408"/>
            <w:shd w:fill="FFFFFF"/>
            <w:tcMar>
              <w:top w:w="90" w:type="dxa"/>
              <w:start w:w="90" w:type="dxa"/>
              <w:bottom w:w="90" w:type="dxa"/>
              <w:end w:w="90" w:type="dxa"/>
            </w:tcMar>
            <w:vAlign w:val="top"/>
          </w:tcPr>
          <w:p>
            <w:r>
              <w:t>Obtain the controlling day logs, original applications, skip-date register snapshots, and complete justification files. Ten current application dates postdate their recorded skip event, and three supplied cover sheets disagree with the skip register on the slip worked. Treat rank_at_offer as provisional until those conflicts are resolved.</w:t>
            </w:r>
          </w:p>
        </w:tc>
      </w:tr>
      <w:tr>
        <w:tc>
          <w:tcPr>
            <w:tcW w:type="dxa" w:w="547"/>
            <w:shd w:fill="F8FAFC"/>
            <w:tcMar>
              <w:top w:w="90" w:type="dxa"/>
              <w:start w:w="90" w:type="dxa"/>
              <w:bottom w:w="90" w:type="dxa"/>
              <w:end w:w="90" w:type="dxa"/>
            </w:tcMar>
            <w:vAlign w:val="top"/>
          </w:tcPr>
          <w:p>
            <w:pPr>
              <w:jc w:val="center"/>
            </w:pPr>
            <w:r>
              <w:rPr>
                <w:b/>
              </w:rPr>
              <w:t>2</w:t>
            </w:r>
          </w:p>
        </w:tc>
        <w:tc>
          <w:tcPr>
            <w:tcW w:type="dxa" w:w="3240"/>
            <w:shd w:fill="F8FAFC"/>
            <w:tcMar>
              <w:top w:w="90" w:type="dxa"/>
              <w:start w:w="90" w:type="dxa"/>
              <w:bottom w:w="90" w:type="dxa"/>
              <w:end w:w="90" w:type="dxa"/>
            </w:tcMar>
            <w:vAlign w:val="top"/>
          </w:tcPr>
          <w:p>
            <w:r>
              <w:rPr>
                <w:b/>
              </w:rPr>
              <w:t>Apply rank-order relief</w:t>
            </w:r>
          </w:p>
        </w:tc>
        <w:tc>
          <w:tcPr>
            <w:tcW w:type="dxa" w:w="6408"/>
            <w:shd w:fill="F8FAFC"/>
            <w:tcMar>
              <w:top w:w="90" w:type="dxa"/>
              <w:start w:w="90" w:type="dxa"/>
              <w:bottom w:w="90" w:type="dxa"/>
              <w:end w:w="90" w:type="dxa"/>
            </w:tcMar>
            <w:vAlign w:val="top"/>
          </w:tcPr>
          <w:p>
            <w:r>
              <w:t>If an exception survives verification, preserve application date and grant the first future matching vacancy in Queue Exceptions priority order. Do not displace a current assignee. Recheck current status: several listed applicants are retainers or expired.</w:t>
            </w:r>
          </w:p>
        </w:tc>
      </w:tr>
      <w:tr>
        <w:tc>
          <w:tcPr>
            <w:tcW w:type="dxa" w:w="547"/>
            <w:shd w:fill="FFFFFF"/>
            <w:tcMar>
              <w:top w:w="90" w:type="dxa"/>
              <w:start w:w="90" w:type="dxa"/>
              <w:bottom w:w="90" w:type="dxa"/>
              <w:end w:w="90" w:type="dxa"/>
            </w:tcMar>
            <w:vAlign w:val="top"/>
          </w:tcPr>
          <w:p>
            <w:pPr>
              <w:jc w:val="center"/>
            </w:pPr>
            <w:r>
              <w:rPr>
                <w:b/>
              </w:rPr>
              <w:t>3</w:t>
            </w:r>
          </w:p>
        </w:tc>
        <w:tc>
          <w:tcPr>
            <w:tcW w:type="dxa" w:w="3240"/>
            <w:shd w:fill="FFFFFF"/>
            <w:tcMar>
              <w:top w:w="90" w:type="dxa"/>
              <w:start w:w="90" w:type="dxa"/>
              <w:bottom w:w="90" w:type="dxa"/>
              <w:end w:w="90" w:type="dxa"/>
            </w:tcMar>
            <w:vAlign w:val="top"/>
          </w:tcPr>
          <w:p>
            <w:r>
              <w:rPr>
                <w:b/>
              </w:rPr>
              <w:t>Complete the billing population</w:t>
            </w:r>
          </w:p>
        </w:tc>
        <w:tc>
          <w:tcPr>
            <w:tcW w:type="dxa" w:w="6408"/>
            <w:shd w:fill="FFFFFF"/>
            <w:tcMar>
              <w:top w:w="90" w:type="dxa"/>
              <w:start w:w="90" w:type="dxa"/>
              <w:bottom w:w="90" w:type="dxa"/>
              <w:end w:w="90" w:type="dxa"/>
            </w:tcMar>
            <w:vAlign w:val="top"/>
          </w:tcPr>
          <w:p>
            <w:r>
              <w:t>Rerun the August billing export through all five basins; reconcile all 1,086 occupied slips; obtain each current agreement's check-in measurement block; and separately review the 228 current covered postings above the 40-foot eligibility limit as an assignment-control issue, not a billing cap.</w:t>
            </w:r>
          </w:p>
        </w:tc>
      </w:tr>
      <w:tr>
        <w:tc>
          <w:tcPr>
            <w:tcW w:type="dxa" w:w="547"/>
            <w:shd w:fill="F8FAFC"/>
            <w:tcMar>
              <w:top w:w="90" w:type="dxa"/>
              <w:start w:w="90" w:type="dxa"/>
              <w:bottom w:w="90" w:type="dxa"/>
              <w:end w:w="90" w:type="dxa"/>
            </w:tcMar>
            <w:vAlign w:val="top"/>
          </w:tcPr>
          <w:p>
            <w:pPr>
              <w:jc w:val="center"/>
            </w:pPr>
            <w:r>
              <w:rPr>
                <w:b/>
              </w:rPr>
              <w:t>4</w:t>
            </w:r>
          </w:p>
        </w:tc>
        <w:tc>
          <w:tcPr>
            <w:tcW w:type="dxa" w:w="3240"/>
            <w:shd w:fill="F8FAFC"/>
            <w:tcMar>
              <w:top w:w="90" w:type="dxa"/>
              <w:start w:w="90" w:type="dxa"/>
              <w:bottom w:w="90" w:type="dxa"/>
              <w:end w:w="90" w:type="dxa"/>
            </w:tcMar>
            <w:vAlign w:val="top"/>
          </w:tcPr>
          <w:p>
            <w:r>
              <w:rPr>
                <w:b/>
              </w:rPr>
              <w:t>Validate and collect aging</w:t>
            </w:r>
          </w:p>
        </w:tc>
        <w:tc>
          <w:tcPr>
            <w:tcW w:type="dxa" w:w="6408"/>
            <w:shd w:fill="F8FAFC"/>
            <w:tcMar>
              <w:top w:w="90" w:type="dxa"/>
              <w:start w:w="90" w:type="dxa"/>
              <w:bottom w:w="90" w:type="dxa"/>
              <w:end w:w="90" w:type="dxa"/>
            </w:tcMar>
            <w:vAlign w:val="top"/>
          </w:tcPr>
          <w:p>
            <w:r>
              <w:t>Produce an invoice-level aging at 1 August for every active agreement. Continue collection on the six identified accounts while confirming that no omitted active account is older than 90 days.</w:t>
            </w:r>
          </w:p>
        </w:tc>
      </w:tr>
    </w:tbl>
    <w:p>
      <w:pPr>
        <w:pStyle w:val="Heading1"/>
      </w:pPr>
      <w:r>
        <w:t>Delinquent active slips</w:t>
      </w:r>
    </w:p>
    <w:tbl>
      <w:tblPr>
        <w:tblW w:type="auto" w:w="0"/>
        <w:tblLayout w:type="fixed"/>
        <w:tblLook w:firstColumn="1" w:firstRow="1" w:lastColumn="0" w:lastRow="0" w:noHBand="0" w:noVBand="1" w:val="04A0"/>
      </w:tblPr>
      <w:tblGrid>
        <w:gridCol w:w="2131"/>
        <w:gridCol w:w="2131"/>
        <w:gridCol w:w="2131"/>
        <w:gridCol w:w="2131"/>
        <w:gridCol w:w="2131"/>
      </w:tblGrid>
      <w:tr>
        <w:tc>
          <w:tcPr>
            <w:tcW w:type="dxa" w:w="2131"/>
            <w:shd w:fill="0F766E"/>
            <w:tcMar>
              <w:top w:w="55" w:type="dxa"/>
              <w:start w:w="80" w:type="dxa"/>
              <w:bottom w:w="55" w:type="dxa"/>
              <w:end w:w="80" w:type="dxa"/>
            </w:tcMar>
          </w:tcPr>
          <w:p>
            <w:r>
              <w:rPr>
                <w:b/>
                <w:color w:val="FFFFFF"/>
                <w:sz w:val="16"/>
              </w:rPr>
              <w:t>Account</w:t>
            </w:r>
          </w:p>
        </w:tc>
        <w:tc>
          <w:tcPr>
            <w:tcW w:type="dxa" w:w="2131"/>
            <w:shd w:fill="0F766E"/>
            <w:tcMar>
              <w:top w:w="55" w:type="dxa"/>
              <w:start w:w="80" w:type="dxa"/>
              <w:bottom w:w="55" w:type="dxa"/>
              <w:end w:w="80" w:type="dxa"/>
            </w:tcMar>
          </w:tcPr>
          <w:p>
            <w:r>
              <w:rPr>
                <w:b/>
                <w:color w:val="FFFFFF"/>
                <w:sz w:val="16"/>
              </w:rPr>
              <w:t>Tenant</w:t>
            </w:r>
          </w:p>
        </w:tc>
        <w:tc>
          <w:tcPr>
            <w:tcW w:type="dxa" w:w="2131"/>
            <w:shd w:fill="0F766E"/>
            <w:tcMar>
              <w:top w:w="55" w:type="dxa"/>
              <w:start w:w="80" w:type="dxa"/>
              <w:bottom w:w="55" w:type="dxa"/>
              <w:end w:w="80" w:type="dxa"/>
            </w:tcMar>
          </w:tcPr>
          <w:p>
            <w:r>
              <w:rPr>
                <w:b/>
                <w:color w:val="FFFFFF"/>
                <w:sz w:val="16"/>
              </w:rPr>
              <w:t>Slip</w:t>
            </w:r>
          </w:p>
        </w:tc>
        <w:tc>
          <w:tcPr>
            <w:tcW w:type="dxa" w:w="2131"/>
            <w:shd w:fill="0F766E"/>
            <w:tcMar>
              <w:top w:w="55" w:type="dxa"/>
              <w:start w:w="80" w:type="dxa"/>
              <w:bottom w:w="55" w:type="dxa"/>
              <w:end w:w="80" w:type="dxa"/>
            </w:tcMar>
          </w:tcPr>
          <w:p>
            <w:r>
              <w:rPr>
                <w:b/>
                <w:color w:val="FFFFFF"/>
                <w:sz w:val="16"/>
              </w:rPr>
              <w:t>Total</w:t>
            </w:r>
          </w:p>
        </w:tc>
        <w:tc>
          <w:tcPr>
            <w:tcW w:type="dxa" w:w="2131"/>
            <w:shd w:fill="0F766E"/>
            <w:tcMar>
              <w:top w:w="55" w:type="dxa"/>
              <w:start w:w="80" w:type="dxa"/>
              <w:bottom w:w="55" w:type="dxa"/>
              <w:end w:w="80" w:type="dxa"/>
            </w:tcMar>
          </w:tcPr>
          <w:p>
            <w:r>
              <w:rPr>
                <w:b/>
                <w:color w:val="FFFFFF"/>
                <w:sz w:val="16"/>
              </w:rPr>
              <w:t>&gt;90 days</w:t>
            </w:r>
          </w:p>
        </w:tc>
      </w:tr>
      <w:tr>
        <w:tc>
          <w:tcPr>
            <w:tcW w:type="dxa" w:w="2131"/>
            <w:shd w:fill="FFFFFF"/>
            <w:tcMar>
              <w:top w:w="42" w:type="dxa"/>
              <w:start w:w="80" w:type="dxa"/>
              <w:bottom w:w="42" w:type="dxa"/>
              <w:end w:w="80" w:type="dxa"/>
            </w:tcMar>
          </w:tcPr>
          <w:p>
            <w:pPr>
              <w:spacing w:after="0"/>
            </w:pPr>
            <w:r>
              <w:rPr>
                <w:sz w:val="15"/>
              </w:rPr>
              <w:t>AC-LP-0122</w:t>
            </w:r>
          </w:p>
        </w:tc>
        <w:tc>
          <w:tcPr>
            <w:tcW w:type="dxa" w:w="2131"/>
            <w:shd w:fill="FFFFFF"/>
            <w:tcMar>
              <w:top w:w="42" w:type="dxa"/>
              <w:start w:w="80" w:type="dxa"/>
              <w:bottom w:w="42" w:type="dxa"/>
              <w:end w:w="80" w:type="dxa"/>
            </w:tcMar>
          </w:tcPr>
          <w:p>
            <w:pPr>
              <w:spacing w:after="0"/>
            </w:pPr>
            <w:r>
              <w:rPr>
                <w:sz w:val="15"/>
              </w:rPr>
              <w:t>Paula Arroyo</w:t>
            </w:r>
          </w:p>
        </w:tc>
        <w:tc>
          <w:tcPr>
            <w:tcW w:type="dxa" w:w="2131"/>
            <w:shd w:fill="FFFFFF"/>
            <w:tcMar>
              <w:top w:w="42" w:type="dxa"/>
              <w:start w:w="80" w:type="dxa"/>
              <w:bottom w:w="42" w:type="dxa"/>
              <w:end w:w="80" w:type="dxa"/>
            </w:tcMar>
          </w:tcPr>
          <w:p>
            <w:pPr>
              <w:spacing w:after="0"/>
            </w:pPr>
            <w:r>
              <w:rPr>
                <w:sz w:val="15"/>
              </w:rPr>
              <w:t>LP-0122</w:t>
            </w:r>
          </w:p>
        </w:tc>
        <w:tc>
          <w:tcPr>
            <w:tcW w:type="dxa" w:w="2131"/>
            <w:shd w:fill="FFFFFF"/>
            <w:tcMar>
              <w:top w:w="42" w:type="dxa"/>
              <w:start w:w="80" w:type="dxa"/>
              <w:bottom w:w="42" w:type="dxa"/>
              <w:end w:w="80" w:type="dxa"/>
            </w:tcMar>
          </w:tcPr>
          <w:p>
            <w:pPr>
              <w:spacing w:after="0"/>
            </w:pPr>
            <w:r>
              <w:rPr>
                <w:sz w:val="15"/>
              </w:rPr>
              <w:t>$2,038.40</w:t>
            </w:r>
          </w:p>
        </w:tc>
        <w:tc>
          <w:tcPr>
            <w:tcW w:type="dxa" w:w="2131"/>
            <w:shd w:fill="FFFFFF"/>
            <w:tcMar>
              <w:top w:w="42" w:type="dxa"/>
              <w:start w:w="80" w:type="dxa"/>
              <w:bottom w:w="42" w:type="dxa"/>
              <w:end w:w="80" w:type="dxa"/>
            </w:tcMar>
          </w:tcPr>
          <w:p>
            <w:pPr>
              <w:spacing w:after="0"/>
            </w:pPr>
            <w:r>
              <w:rPr>
                <w:sz w:val="15"/>
              </w:rPr>
              <w:t>$509.60</w:t>
            </w:r>
          </w:p>
        </w:tc>
      </w:tr>
      <w:tr>
        <w:tc>
          <w:tcPr>
            <w:tcW w:type="dxa" w:w="2131"/>
            <w:shd w:fill="F8FAFC"/>
            <w:tcMar>
              <w:top w:w="42" w:type="dxa"/>
              <w:start w:w="80" w:type="dxa"/>
              <w:bottom w:w="42" w:type="dxa"/>
              <w:end w:w="80" w:type="dxa"/>
            </w:tcMar>
          </w:tcPr>
          <w:p>
            <w:pPr>
              <w:spacing w:after="0"/>
            </w:pPr>
            <w:r>
              <w:rPr>
                <w:sz w:val="15"/>
              </w:rPr>
              <w:t>AC-LP-0402</w:t>
            </w:r>
          </w:p>
        </w:tc>
        <w:tc>
          <w:tcPr>
            <w:tcW w:type="dxa" w:w="2131"/>
            <w:shd w:fill="F8FAFC"/>
            <w:tcMar>
              <w:top w:w="42" w:type="dxa"/>
              <w:start w:w="80" w:type="dxa"/>
              <w:bottom w:w="42" w:type="dxa"/>
              <w:end w:w="80" w:type="dxa"/>
            </w:tcMar>
          </w:tcPr>
          <w:p>
            <w:pPr>
              <w:spacing w:after="0"/>
            </w:pPr>
            <w:r>
              <w:rPr>
                <w:sz w:val="15"/>
              </w:rPr>
              <w:t>Dawn Brown</w:t>
            </w:r>
          </w:p>
        </w:tc>
        <w:tc>
          <w:tcPr>
            <w:tcW w:type="dxa" w:w="2131"/>
            <w:shd w:fill="F8FAFC"/>
            <w:tcMar>
              <w:top w:w="42" w:type="dxa"/>
              <w:start w:w="80" w:type="dxa"/>
              <w:bottom w:w="42" w:type="dxa"/>
              <w:end w:w="80" w:type="dxa"/>
            </w:tcMar>
          </w:tcPr>
          <w:p>
            <w:pPr>
              <w:spacing w:after="0"/>
            </w:pPr>
            <w:r>
              <w:rPr>
                <w:sz w:val="15"/>
              </w:rPr>
              <w:t>LP-0402</w:t>
            </w:r>
          </w:p>
        </w:tc>
        <w:tc>
          <w:tcPr>
            <w:tcW w:type="dxa" w:w="2131"/>
            <w:shd w:fill="F8FAFC"/>
            <w:tcMar>
              <w:top w:w="42" w:type="dxa"/>
              <w:start w:w="80" w:type="dxa"/>
              <w:bottom w:w="42" w:type="dxa"/>
              <w:end w:w="80" w:type="dxa"/>
            </w:tcMar>
          </w:tcPr>
          <w:p>
            <w:pPr>
              <w:spacing w:after="0"/>
            </w:pPr>
            <w:r>
              <w:rPr>
                <w:sz w:val="15"/>
              </w:rPr>
              <w:t>$1,539.20</w:t>
            </w:r>
          </w:p>
        </w:tc>
        <w:tc>
          <w:tcPr>
            <w:tcW w:type="dxa" w:w="2131"/>
            <w:shd w:fill="F8FAFC"/>
            <w:tcMar>
              <w:top w:w="42" w:type="dxa"/>
              <w:start w:w="80" w:type="dxa"/>
              <w:bottom w:w="42" w:type="dxa"/>
              <w:end w:w="80" w:type="dxa"/>
            </w:tcMar>
          </w:tcPr>
          <w:p>
            <w:pPr>
              <w:spacing w:after="0"/>
            </w:pPr>
            <w:r>
              <w:rPr>
                <w:sz w:val="15"/>
              </w:rPr>
              <w:t>$384.80</w:t>
            </w:r>
          </w:p>
        </w:tc>
      </w:tr>
      <w:tr>
        <w:tc>
          <w:tcPr>
            <w:tcW w:type="dxa" w:w="2131"/>
            <w:shd w:fill="FFFFFF"/>
            <w:tcMar>
              <w:top w:w="42" w:type="dxa"/>
              <w:start w:w="80" w:type="dxa"/>
              <w:bottom w:w="42" w:type="dxa"/>
              <w:end w:w="80" w:type="dxa"/>
            </w:tcMar>
          </w:tcPr>
          <w:p>
            <w:pPr>
              <w:spacing w:after="0"/>
            </w:pPr>
            <w:r>
              <w:rPr>
                <w:sz w:val="15"/>
              </w:rPr>
              <w:t>AC-LP-0602</w:t>
            </w:r>
          </w:p>
        </w:tc>
        <w:tc>
          <w:tcPr>
            <w:tcW w:type="dxa" w:w="2131"/>
            <w:shd w:fill="FFFFFF"/>
            <w:tcMar>
              <w:top w:w="42" w:type="dxa"/>
              <w:start w:w="80" w:type="dxa"/>
              <w:bottom w:w="42" w:type="dxa"/>
              <w:end w:w="80" w:type="dxa"/>
            </w:tcMar>
          </w:tcPr>
          <w:p>
            <w:pPr>
              <w:spacing w:after="0"/>
            </w:pPr>
            <w:r>
              <w:rPr>
                <w:sz w:val="15"/>
              </w:rPr>
              <w:t>Lee Maldonado</w:t>
            </w:r>
          </w:p>
        </w:tc>
        <w:tc>
          <w:tcPr>
            <w:tcW w:type="dxa" w:w="2131"/>
            <w:shd w:fill="FFFFFF"/>
            <w:tcMar>
              <w:top w:w="42" w:type="dxa"/>
              <w:start w:w="80" w:type="dxa"/>
              <w:bottom w:w="42" w:type="dxa"/>
              <w:end w:w="80" w:type="dxa"/>
            </w:tcMar>
          </w:tcPr>
          <w:p>
            <w:pPr>
              <w:spacing w:after="0"/>
            </w:pPr>
            <w:r>
              <w:rPr>
                <w:sz w:val="15"/>
              </w:rPr>
              <w:t>LP-0602</w:t>
            </w:r>
          </w:p>
        </w:tc>
        <w:tc>
          <w:tcPr>
            <w:tcW w:type="dxa" w:w="2131"/>
            <w:shd w:fill="FFFFFF"/>
            <w:tcMar>
              <w:top w:w="42" w:type="dxa"/>
              <w:start w:w="80" w:type="dxa"/>
              <w:bottom w:w="42" w:type="dxa"/>
              <w:end w:w="80" w:type="dxa"/>
            </w:tcMar>
          </w:tcPr>
          <w:p>
            <w:pPr>
              <w:spacing w:after="0"/>
            </w:pPr>
            <w:r>
              <w:rPr>
                <w:sz w:val="15"/>
              </w:rPr>
              <w:t>$3,016.00</w:t>
            </w:r>
          </w:p>
        </w:tc>
        <w:tc>
          <w:tcPr>
            <w:tcW w:type="dxa" w:w="2131"/>
            <w:shd w:fill="FFFFFF"/>
            <w:tcMar>
              <w:top w:w="42" w:type="dxa"/>
              <w:start w:w="80" w:type="dxa"/>
              <w:bottom w:w="42" w:type="dxa"/>
              <w:end w:w="80" w:type="dxa"/>
            </w:tcMar>
          </w:tcPr>
          <w:p>
            <w:pPr>
              <w:spacing w:after="0"/>
            </w:pPr>
            <w:r>
              <w:rPr>
                <w:sz w:val="15"/>
              </w:rPr>
              <w:t>$1,206.40</w:t>
            </w:r>
          </w:p>
        </w:tc>
      </w:tr>
      <w:tr>
        <w:tc>
          <w:tcPr>
            <w:tcW w:type="dxa" w:w="2131"/>
            <w:shd w:fill="F8FAFC"/>
            <w:tcMar>
              <w:top w:w="42" w:type="dxa"/>
              <w:start w:w="80" w:type="dxa"/>
              <w:bottom w:w="42" w:type="dxa"/>
              <w:end w:w="80" w:type="dxa"/>
            </w:tcMar>
          </w:tcPr>
          <w:p>
            <w:pPr>
              <w:spacing w:after="0"/>
            </w:pPr>
            <w:r>
              <w:rPr>
                <w:sz w:val="15"/>
              </w:rPr>
              <w:t>AC-LP-0605</w:t>
            </w:r>
          </w:p>
        </w:tc>
        <w:tc>
          <w:tcPr>
            <w:tcW w:type="dxa" w:w="2131"/>
            <w:shd w:fill="F8FAFC"/>
            <w:tcMar>
              <w:top w:w="42" w:type="dxa"/>
              <w:start w:w="80" w:type="dxa"/>
              <w:bottom w:w="42" w:type="dxa"/>
              <w:end w:w="80" w:type="dxa"/>
            </w:tcMar>
          </w:tcPr>
          <w:p>
            <w:pPr>
              <w:spacing w:after="0"/>
            </w:pPr>
            <w:r>
              <w:rPr>
                <w:sz w:val="15"/>
              </w:rPr>
              <w:t>Andrew Anderson</w:t>
            </w:r>
          </w:p>
        </w:tc>
        <w:tc>
          <w:tcPr>
            <w:tcW w:type="dxa" w:w="2131"/>
            <w:shd w:fill="F8FAFC"/>
            <w:tcMar>
              <w:top w:w="42" w:type="dxa"/>
              <w:start w:w="80" w:type="dxa"/>
              <w:bottom w:w="42" w:type="dxa"/>
              <w:end w:w="80" w:type="dxa"/>
            </w:tcMar>
          </w:tcPr>
          <w:p>
            <w:pPr>
              <w:spacing w:after="0"/>
            </w:pPr>
            <w:r>
              <w:rPr>
                <w:sz w:val="15"/>
              </w:rPr>
              <w:t>LP-0605</w:t>
            </w:r>
          </w:p>
        </w:tc>
        <w:tc>
          <w:tcPr>
            <w:tcW w:type="dxa" w:w="2131"/>
            <w:shd w:fill="F8FAFC"/>
            <w:tcMar>
              <w:top w:w="42" w:type="dxa"/>
              <w:start w:w="80" w:type="dxa"/>
              <w:bottom w:w="42" w:type="dxa"/>
              <w:end w:w="80" w:type="dxa"/>
            </w:tcMar>
          </w:tcPr>
          <w:p>
            <w:pPr>
              <w:spacing w:after="0"/>
            </w:pPr>
            <w:r>
              <w:rPr>
                <w:sz w:val="15"/>
              </w:rPr>
              <w:t>$2,121.60</w:t>
            </w:r>
          </w:p>
        </w:tc>
        <w:tc>
          <w:tcPr>
            <w:tcW w:type="dxa" w:w="2131"/>
            <w:shd w:fill="F8FAFC"/>
            <w:tcMar>
              <w:top w:w="42" w:type="dxa"/>
              <w:start w:w="80" w:type="dxa"/>
              <w:bottom w:w="42" w:type="dxa"/>
              <w:end w:w="80" w:type="dxa"/>
            </w:tcMar>
          </w:tcPr>
          <w:p>
            <w:pPr>
              <w:spacing w:after="0"/>
            </w:pPr>
            <w:r>
              <w:rPr>
                <w:sz w:val="15"/>
              </w:rPr>
              <w:t>$530.40</w:t>
            </w:r>
          </w:p>
        </w:tc>
      </w:tr>
      <w:tr>
        <w:tc>
          <w:tcPr>
            <w:tcW w:type="dxa" w:w="2131"/>
            <w:shd w:fill="FFFFFF"/>
            <w:tcMar>
              <w:top w:w="42" w:type="dxa"/>
              <w:start w:w="80" w:type="dxa"/>
              <w:bottom w:w="42" w:type="dxa"/>
              <w:end w:w="80" w:type="dxa"/>
            </w:tcMar>
          </w:tcPr>
          <w:p>
            <w:pPr>
              <w:spacing w:after="0"/>
            </w:pPr>
            <w:r>
              <w:rPr>
                <w:sz w:val="15"/>
              </w:rPr>
              <w:t>AC-LP-0713</w:t>
            </w:r>
          </w:p>
        </w:tc>
        <w:tc>
          <w:tcPr>
            <w:tcW w:type="dxa" w:w="2131"/>
            <w:shd w:fill="FFFFFF"/>
            <w:tcMar>
              <w:top w:w="42" w:type="dxa"/>
              <w:start w:w="80" w:type="dxa"/>
              <w:bottom w:w="42" w:type="dxa"/>
              <w:end w:w="80" w:type="dxa"/>
            </w:tcMar>
          </w:tcPr>
          <w:p>
            <w:pPr>
              <w:spacing w:after="0"/>
            </w:pPr>
            <w:r>
              <w:rPr>
                <w:sz w:val="15"/>
              </w:rPr>
              <w:t>Stacey Mitchell</w:t>
            </w:r>
          </w:p>
        </w:tc>
        <w:tc>
          <w:tcPr>
            <w:tcW w:type="dxa" w:w="2131"/>
            <w:shd w:fill="FFFFFF"/>
            <w:tcMar>
              <w:top w:w="42" w:type="dxa"/>
              <w:start w:w="80" w:type="dxa"/>
              <w:bottom w:w="42" w:type="dxa"/>
              <w:end w:w="80" w:type="dxa"/>
            </w:tcMar>
          </w:tcPr>
          <w:p>
            <w:pPr>
              <w:spacing w:after="0"/>
            </w:pPr>
            <w:r>
              <w:rPr>
                <w:sz w:val="15"/>
              </w:rPr>
              <w:t>LP-0713</w:t>
            </w:r>
          </w:p>
        </w:tc>
        <w:tc>
          <w:tcPr>
            <w:tcW w:type="dxa" w:w="2131"/>
            <w:shd w:fill="FFFFFF"/>
            <w:tcMar>
              <w:top w:w="42" w:type="dxa"/>
              <w:start w:w="80" w:type="dxa"/>
              <w:bottom w:w="42" w:type="dxa"/>
              <w:end w:w="80" w:type="dxa"/>
            </w:tcMar>
          </w:tcPr>
          <w:p>
            <w:pPr>
              <w:spacing w:after="0"/>
            </w:pPr>
            <w:r>
              <w:rPr>
                <w:sz w:val="15"/>
              </w:rPr>
              <w:t>$2,496.00</w:t>
            </w:r>
          </w:p>
        </w:tc>
        <w:tc>
          <w:tcPr>
            <w:tcW w:type="dxa" w:w="2131"/>
            <w:shd w:fill="FFFFFF"/>
            <w:tcMar>
              <w:top w:w="42" w:type="dxa"/>
              <w:start w:w="80" w:type="dxa"/>
              <w:bottom w:w="42" w:type="dxa"/>
              <w:end w:w="80" w:type="dxa"/>
            </w:tcMar>
          </w:tcPr>
          <w:p>
            <w:pPr>
              <w:spacing w:after="0"/>
            </w:pPr>
            <w:r>
              <w:rPr>
                <w:sz w:val="15"/>
              </w:rPr>
              <w:t>$1,248.00</w:t>
            </w:r>
          </w:p>
        </w:tc>
      </w:tr>
      <w:tr>
        <w:tc>
          <w:tcPr>
            <w:tcW w:type="dxa" w:w="2131"/>
            <w:shd w:fill="F8FAFC"/>
            <w:tcMar>
              <w:top w:w="42" w:type="dxa"/>
              <w:start w:w="80" w:type="dxa"/>
              <w:bottom w:w="42" w:type="dxa"/>
              <w:end w:w="80" w:type="dxa"/>
            </w:tcMar>
          </w:tcPr>
          <w:p>
            <w:pPr>
              <w:spacing w:after="0"/>
            </w:pPr>
            <w:r>
              <w:rPr>
                <w:sz w:val="15"/>
              </w:rPr>
              <w:t>AC-LP-0801</w:t>
            </w:r>
          </w:p>
        </w:tc>
        <w:tc>
          <w:tcPr>
            <w:tcW w:type="dxa" w:w="2131"/>
            <w:shd w:fill="F8FAFC"/>
            <w:tcMar>
              <w:top w:w="42" w:type="dxa"/>
              <w:start w:w="80" w:type="dxa"/>
              <w:bottom w:w="42" w:type="dxa"/>
              <w:end w:w="80" w:type="dxa"/>
            </w:tcMar>
          </w:tcPr>
          <w:p>
            <w:pPr>
              <w:spacing w:after="0"/>
            </w:pPr>
            <w:r>
              <w:rPr>
                <w:sz w:val="15"/>
              </w:rPr>
              <w:t>Allison Nguyen</w:t>
            </w:r>
          </w:p>
        </w:tc>
        <w:tc>
          <w:tcPr>
            <w:tcW w:type="dxa" w:w="2131"/>
            <w:shd w:fill="F8FAFC"/>
            <w:tcMar>
              <w:top w:w="42" w:type="dxa"/>
              <w:start w:w="80" w:type="dxa"/>
              <w:bottom w:w="42" w:type="dxa"/>
              <w:end w:w="80" w:type="dxa"/>
            </w:tcMar>
          </w:tcPr>
          <w:p>
            <w:pPr>
              <w:spacing w:after="0"/>
            </w:pPr>
            <w:r>
              <w:rPr>
                <w:sz w:val="15"/>
              </w:rPr>
              <w:t>LP-0801</w:t>
            </w:r>
          </w:p>
        </w:tc>
        <w:tc>
          <w:tcPr>
            <w:tcW w:type="dxa" w:w="2131"/>
            <w:shd w:fill="F8FAFC"/>
            <w:tcMar>
              <w:top w:w="42" w:type="dxa"/>
              <w:start w:w="80" w:type="dxa"/>
              <w:bottom w:w="42" w:type="dxa"/>
              <w:end w:w="80" w:type="dxa"/>
            </w:tcMar>
          </w:tcPr>
          <w:p>
            <w:pPr>
              <w:spacing w:after="0"/>
            </w:pPr>
            <w:r>
              <w:rPr>
                <w:sz w:val="15"/>
              </w:rPr>
              <w:t>$1,955.20</w:t>
            </w:r>
          </w:p>
        </w:tc>
        <w:tc>
          <w:tcPr>
            <w:tcW w:type="dxa" w:w="2131"/>
            <w:shd w:fill="F8FAFC"/>
            <w:tcMar>
              <w:top w:w="42" w:type="dxa"/>
              <w:start w:w="80" w:type="dxa"/>
              <w:bottom w:w="42" w:type="dxa"/>
              <w:end w:w="80" w:type="dxa"/>
            </w:tcMar>
          </w:tcPr>
          <w:p>
            <w:pPr>
              <w:spacing w:after="0"/>
            </w:pPr>
            <w:r>
              <w:rPr>
                <w:sz w:val="15"/>
              </w:rPr>
              <w:t>$488.80</w:t>
            </w:r>
          </w:p>
        </w:tc>
      </w:tr>
    </w:tbl>
    <w:p>
      <w:pPr>
        <w:pStyle w:val="Heading1"/>
      </w:pPr>
      <w:r>
        <w:t>Record limitations</w:t>
      </w:r>
    </w:p>
    <w:tbl>
      <w:tblPr>
        <w:tblW w:type="auto" w:w="0"/>
        <w:tblLook w:firstColumn="1" w:firstRow="1" w:lastColumn="0" w:lastRow="0" w:noHBand="0" w:noVBand="1" w:val="04A0"/>
      </w:tblPr>
      <w:tblGrid>
        <w:gridCol w:w="10656"/>
      </w:tblGrid>
      <w:tr>
        <w:tc>
          <w:tcPr>
            <w:tcW w:type="dxa" w:w="10656"/>
            <w:shd w:fill="FDE8E7"/>
            <w:tcMar>
              <w:top w:w="110" w:type="dxa"/>
              <w:start w:w="140" w:type="dxa"/>
              <w:bottom w:w="110" w:type="dxa"/>
              <w:end w:w="140" w:type="dxa"/>
            </w:tcMar>
          </w:tcPr>
          <w:p>
            <w:pPr>
              <w:spacing w:after="0"/>
            </w:pPr>
            <w:r>
              <w:rPr>
                <w:b/>
                <w:color w:val="17324D"/>
              </w:rPr>
              <w:t xml:space="preserve">DO NOT OVERSTATE THE RESULT.  </w:t>
            </w:r>
            <w:r>
              <w:t>The 19 queue findings are clear exceptions because the register itself says no attachment, but 288 other Y-coded skips lack supplied paper files and were not re-performed. The $120,158.25 billing amount is provisional. The six aging rows are complete only within the 260-account July ledger. The documents needed to settle these limitations are the contemporaneous skip files and day logs, current signed agreements/check-in blocks, a complete all-basin billing export, and a complete invoice-level aging at 1 August.</w:t>
            </w:r>
          </w:p>
        </w:tc>
      </w:tr>
    </w:tbl>
    <w:p>
      <w:pPr>
        <w:pStyle w:val="Heading1"/>
      </w:pPr>
      <w:r>
        <w:t>Sources</w:t>
      </w:r>
    </w:p>
    <w:p>
      <w:pPr>
        <w:spacing w:after="0"/>
      </w:pPr>
      <w:r>
        <w:rPr>
          <w:color w:val="64748B"/>
          <w:sz w:val="15"/>
        </w:rPr>
        <w:t>Standing Order 15-3, p.1; Resolution 2022-06, pp.1-3; Tariff Resolution 2019-14, pp.1-3; Appeal 2018-3, pp.2-3; skip_events_2022_2026.csv; applicant_register_2026-08.csv; amendment_log_2022_2026.csv; the six named skip-justification PDFs; 2025-06-29_haul_out_WL-03102_foldview.pdf, p.1; billing_transactions_2022_2026.csv; slip_inventory_2026-08.csv; the two named 2024 measurement certificates; and ar_aging_2026-07-31.xlsx, AR_Aging and Summary sheets. Exact source rows appear in the workbook.</w:t>
      </w:r>
    </w:p>
    <w:sectPr w:rsidR="00FC693F" w:rsidRPr="0006063C" w:rsidSect="00034616">
      <w:headerReference w:type="default" r:id="rId9"/>
      <w:footerReference w:type="default" r:id="rId10"/>
      <w:pgSz w:w="12240" w:h="15840"/>
      <w:pgMar w:top="648"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64748B"/>
        <w:sz w:val="14"/>
      </w:rPr>
      <w:t xml:space="preserve">Confidential | 1 August 2026 | Page </w:t>
    </w:r>
    <w:r>
      <w:rPr>
        <w:rFonts w:ascii="Noto Sans" w:hAnsi="Noto Sans"/>
        <w:color w:val="64748B"/>
        <w:sz w:val="14"/>
      </w:rPr>
      <w:fldChar w:fldCharType="begin"/>
      <w:instrText xml:space="preserve">PAGE</w:instrText>
      <w:fldChar w:fldCharType="end"/>
    </w:r>
    <w:r>
      <w:rPr>
        <w:rFonts w:ascii="Noto Sans" w:hAnsi="Noto Sans"/>
        <w:color w:val="64748B"/>
        <w:sz w:val="14"/>
      </w:rPr>
      <w:t xml:space="preserve"> of </w:t>
    </w:r>
    <w:r>
      <w:rPr>
        <w:rFonts w:ascii="Noto Sans" w:hAnsi="Noto Sans"/>
        <w:color w:val="64748B"/>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766E"/>
        <w:sz w:val="15"/>
      </w:rPr>
      <w:t>CHALDALE HARBOR DISTRICT  |  BOARD CONSIDERATION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Noto Sans" w:hAnsi="Noto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Noto Sans" w:hAnsi="Noto Sans"/>
      <w:b/>
      <w:bCs/>
      <w:color w:val="0F766E"/>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Noto Sans" w:hAnsi="Noto Sans"/>
      <w:b/>
      <w:bCs/>
      <w:color w:val="17324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Noto Sans" w:hAnsi="Noto Sans"/>
      <w:b/>
      <w:color w:val="17324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