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Liberation Sans" w:hAnsi="Liberation Sans"/>
          <w:b/>
          <w:color w:val="17324D"/>
          <w:sz w:val="34"/>
        </w:rPr>
        <w:t>MOORAGE BILLING AND QUEUE INTEGRITY AUDIT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DD3D8"/>
          <w:left w:val="single" w:sz="4" w:color="CDD3D8"/>
          <w:bottom w:val="single" w:sz="4" w:color="CDD3D8"/>
          <w:right w:val="single" w:sz="4" w:color="CDD3D8"/>
          <w:insideH w:val="single" w:sz="4" w:color="CDD3D8"/>
          <w:insideV w:val="single" w:sz="4" w:color="CDD3D8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792"/>
            <w:vAlign w:val="center"/>
            <w:shd w:fill="E8F0F6"/>
          </w:tcPr>
          <w:p>
            <w:r/>
            <w:r>
              <w:rPr>
                <w:rFonts w:ascii="Liberation Sans" w:hAnsi="Liberation Sans" w:eastAsia="Liberation Sans"/>
                <w:b/>
                <w:color w:val="17324D"/>
                <w:sz w:val="15"/>
              </w:rPr>
              <w:t>TO</w:t>
            </w:r>
          </w:p>
        </w:tc>
        <w:tc>
          <w:tcPr>
            <w:tcW w:type="dxa" w:w="4536"/>
            <w:vAlign w:val="center"/>
            <w:shd w:fill="FFFFFF"/>
          </w:tcPr>
          <w:p>
            <w:r/>
            <w:r>
              <w:rPr>
                <w:rFonts w:ascii="Liberation Sans" w:hAnsi="Liberation Sans" w:eastAsia="Liberation Sans"/>
                <w:b w:val="0"/>
                <w:color w:val="17202A"/>
                <w:sz w:val="15"/>
              </w:rPr>
              <w:t>Board of Harbor Commissioners</w:t>
            </w:r>
          </w:p>
        </w:tc>
        <w:tc>
          <w:tcPr>
            <w:tcW w:type="dxa" w:w="936"/>
            <w:vAlign w:val="center"/>
            <w:shd w:fill="E8F0F6"/>
          </w:tcPr>
          <w:p>
            <w:r/>
            <w:r>
              <w:rPr>
                <w:rFonts w:ascii="Liberation Sans" w:hAnsi="Liberation Sans" w:eastAsia="Liberation Sans"/>
                <w:b/>
                <w:color w:val="17324D"/>
                <w:sz w:val="15"/>
              </w:rPr>
              <w:t>DATE</w:t>
            </w:r>
          </w:p>
        </w:tc>
        <w:tc>
          <w:tcPr>
            <w:tcW w:type="dxa" w:w="4464"/>
            <w:vAlign w:val="center"/>
            <w:shd w:fill="FFFFFF"/>
          </w:tcPr>
          <w:p>
            <w:r/>
            <w:r>
              <w:rPr>
                <w:rFonts w:ascii="Liberation Sans" w:hAnsi="Liberation Sans" w:eastAsia="Liberation Sans"/>
                <w:b w:val="0"/>
                <w:color w:val="17202A"/>
                <w:sz w:val="15"/>
              </w:rPr>
              <w:t>Friday, August 7, 2026</w:t>
            </w:r>
          </w:p>
        </w:tc>
      </w:tr>
      <w:tr>
        <w:tc>
          <w:tcPr>
            <w:tcW w:type="dxa" w:w="792"/>
            <w:vAlign w:val="center"/>
            <w:shd w:fill="E8F0F6"/>
          </w:tcPr>
          <w:p>
            <w:r/>
            <w:r>
              <w:rPr>
                <w:rFonts w:ascii="Liberation Sans" w:hAnsi="Liberation Sans" w:eastAsia="Liberation Sans"/>
                <w:b/>
                <w:color w:val="17324D"/>
                <w:sz w:val="15"/>
              </w:rPr>
              <w:t>FROM</w:t>
            </w:r>
          </w:p>
        </w:tc>
        <w:tc>
          <w:tcPr>
            <w:tcW w:type="dxa" w:w="4536"/>
            <w:vAlign w:val="center"/>
            <w:shd w:fill="FFFFFF"/>
          </w:tcPr>
          <w:p>
            <w:r/>
            <w:r>
              <w:rPr>
                <w:rFonts w:ascii="Liberation Sans" w:hAnsi="Liberation Sans" w:eastAsia="Liberation Sans"/>
                <w:b w:val="0"/>
                <w:color w:val="17202A"/>
                <w:sz w:val="15"/>
              </w:rPr>
              <w:t>Moorage Counter Clerk</w:t>
            </w:r>
          </w:p>
        </w:tc>
        <w:tc>
          <w:tcPr>
            <w:tcW w:type="dxa" w:w="936"/>
            <w:vAlign w:val="center"/>
            <w:shd w:fill="E8F0F6"/>
          </w:tcPr>
          <w:p>
            <w:r/>
            <w:r>
              <w:rPr>
                <w:rFonts w:ascii="Liberation Sans" w:hAnsi="Liberation Sans" w:eastAsia="Liberation Sans"/>
                <w:b/>
                <w:color w:val="17324D"/>
                <w:sz w:val="15"/>
              </w:rPr>
              <w:t>SUBJECT</w:t>
            </w:r>
          </w:p>
        </w:tc>
        <w:tc>
          <w:tcPr>
            <w:tcW w:type="dxa" w:w="4464"/>
            <w:vAlign w:val="center"/>
            <w:shd w:fill="FFFFFF"/>
          </w:tcPr>
          <w:p>
            <w:r/>
            <w:r>
              <w:rPr>
                <w:rFonts w:ascii="Liberation Sans" w:hAnsi="Liberation Sans" w:eastAsia="Liberation Sans"/>
                <w:b w:val="0"/>
                <w:color w:val="17202A"/>
                <w:sz w:val="15"/>
              </w:rPr>
              <w:t>Collection, billing, and waiting-list exceptions</w:t>
            </w:r>
          </w:p>
        </w:tc>
      </w:tr>
      <w:tr>
        <w:tc>
          <w:tcPr>
            <w:tcW w:type="dxa" w:w="792"/>
            <w:vAlign w:val="center"/>
            <w:shd w:fill="E8F0F6"/>
          </w:tcPr>
          <w:p>
            <w:r/>
            <w:r>
              <w:rPr>
                <w:rFonts w:ascii="Liberation Sans" w:hAnsi="Liberation Sans" w:eastAsia="Liberation Sans"/>
                <w:b/>
                <w:color w:val="17324D"/>
                <w:sz w:val="15"/>
              </w:rPr>
              <w:t>FILES</w:t>
            </w:r>
          </w:p>
        </w:tc>
        <w:tc>
          <w:tcPr>
            <w:tcW w:type="dxa" w:w="4536"/>
            <w:vAlign w:val="center"/>
            <w:shd w:fill="FFFFFF"/>
          </w:tcPr>
          <w:p>
            <w:r/>
            <w:r>
              <w:rPr>
                <w:rFonts w:ascii="Liberation Sans" w:hAnsi="Liberation Sans" w:eastAsia="Liberation Sans"/>
                <w:b w:val="0"/>
                <w:color w:val="17202A"/>
                <w:sz w:val="15"/>
              </w:rPr>
              <w:t>chaldale_moorage_audit_2026-08.xlsx</w:t>
            </w:r>
          </w:p>
        </w:tc>
        <w:tc>
          <w:tcPr>
            <w:tcW w:type="dxa" w:w="936"/>
            <w:vAlign w:val="center"/>
            <w:shd w:fill="E8F0F6"/>
          </w:tcPr>
          <w:p>
            <w:r/>
            <w:r>
              <w:rPr>
                <w:rFonts w:ascii="Liberation Sans" w:hAnsi="Liberation Sans" w:eastAsia="Liberation Sans"/>
                <w:b/>
                <w:color w:val="17324D"/>
                <w:sz w:val="15"/>
              </w:rPr>
              <w:t>BASIS</w:t>
            </w:r>
          </w:p>
        </w:tc>
        <w:tc>
          <w:tcPr>
            <w:tcW w:type="dxa" w:w="4464"/>
            <w:vAlign w:val="center"/>
            <w:shd w:fill="FFFFFF"/>
          </w:tcPr>
          <w:p>
            <w:r/>
            <w:r>
              <w:rPr>
                <w:rFonts w:ascii="Liberation Sans" w:hAnsi="Liberation Sans" w:eastAsia="Liberation Sans"/>
                <w:b w:val="0"/>
                <w:color w:val="17202A"/>
                <w:sz w:val="15"/>
              </w:rPr>
              <w:t>Pre-tax monthly moorage; AR aging at July 31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3B86B"/>
          <w:left w:val="single" w:sz="6" w:color="E3B86B"/>
          <w:bottom w:val="single" w:sz="6" w:color="E3B86B"/>
          <w:right w:val="single" w:sz="6" w:color="E3B86B"/>
          <w:insideH w:val="single" w:sz="6" w:color="E3B86B"/>
          <w:insideV w:val="single" w:sz="6" w:color="E3B86B"/>
        </w:tblBorders>
      </w:tblPr>
      <w:tblGrid>
        <w:gridCol w:w="10570"/>
      </w:tblGrid>
      <w:tr>
        <w:tc>
          <w:tcPr>
            <w:tcW w:type="dxa" w:w="10570"/>
            <w:shd w:fill="FFF0D8"/>
          </w:tcPr>
          <w:p>
            <w:pPr>
              <w:spacing w:after="40"/>
            </w:pPr>
            <w:r/>
            <w:r>
              <w:rPr>
                <w:rFonts w:ascii="Liberation Sans" w:hAnsi="Liberation Sans"/>
                <w:b/>
                <w:color w:val="A15C00"/>
                <w:sz w:val="19"/>
              </w:rPr>
              <w:t>DECISIONS REQUESTED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7202A"/>
                <w:sz w:val="17"/>
              </w:rPr>
              <w:t>1. Authorize collection progression on the six listed 91+ accounts after staff checks payments received since July 31 and refreshes the aging as of today.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7202A"/>
                <w:sz w:val="17"/>
              </w:rPr>
              <w:t>2. Direct Finance to complete or re-export the August run: 317 occupied slips have no posting, a pre-tax shortfall of $120,158.25.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7202A"/>
                <w:sz w:val="17"/>
              </w:rPr>
              <w:t>3. Preserve queue rights and suspend reliance on 309 Priority 1 skips and 14 unsupported LOA amendments followed by later skips pending applicant-specific Board review.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7202A"/>
                <w:sz w:val="17"/>
              </w:rPr>
              <w:t>4. Direct staff to obtain the complete AR population and review 228 covered occupancies above the 40-foot eligibility limit.</w:t>
            </w:r>
          </w:p>
        </w:tc>
      </w:tr>
    </w:tbl>
    <w:p>
      <w:pPr>
        <w:spacing w:before="100" w:after="40"/>
      </w:pPr>
      <w:r>
        <w:rPr>
          <w:rFonts w:ascii="Liberation Sans" w:hAnsi="Liberation Sans" w:eastAsia="Liberation Sans"/>
          <w:b/>
          <w:color w:val="17324D"/>
          <w:sz w:val="24"/>
        </w:rPr>
        <w:t>Bottom Line</w:t>
      </w:r>
    </w:p>
    <w:p>
      <w:pPr>
        <w:spacing w:after="60" w:line="245" w:lineRule="auto"/>
      </w:pPr>
      <w:r>
        <w:rPr>
          <w:rFonts w:ascii="Liberation Sans" w:hAnsi="Liberation Sans" w:eastAsia="Liberation Sans"/>
          <w:color w:val="17202A"/>
          <w:sz w:val="18"/>
        </w:rPr>
        <w:t>The supplied records support six collection candidates totaling $4,368.00 in the requested 91-120 and 120+ buckets. They do not support a Board-wide delinquency conclusion: ar_aging_2026-07-31.xlsx contains 260 accounts, while slip_inventory_2026-08.csv contains 1,086 occupied slips, leaving 826 occupied slips outside the extract. All six listed accounts do join to occupied slips using the account suffix after AC-.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17324D"/>
          <w:sz w:val="24"/>
        </w:rPr>
        <w:t>Collection Candidates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3D8"/>
          <w:left w:val="single" w:sz="4" w:color="CDD3D8"/>
          <w:bottom w:val="single" w:sz="4" w:color="CDD3D8"/>
          <w:right w:val="single" w:sz="4" w:color="CDD3D8"/>
          <w:insideH w:val="single" w:sz="4" w:color="CDD3D8"/>
          <w:insideV w:val="single" w:sz="4" w:color="CDD3D8"/>
        </w:tblBorders>
      </w:tblPr>
      <w:tblGrid>
        <w:gridCol w:w="1762"/>
        <w:gridCol w:w="1762"/>
        <w:gridCol w:w="1762"/>
        <w:gridCol w:w="1762"/>
        <w:gridCol w:w="1762"/>
        <w:gridCol w:w="1762"/>
      </w:tblGrid>
      <w:tr>
        <w:trPr>
          <w:tblHeader w:val="true"/>
        </w:trPr>
        <w:tc>
          <w:tcPr>
            <w:tcW w:type="dxa" w:w="1944"/>
            <w:vAlign w:val="center"/>
            <w:shd w:fill="1E7C78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Account / slip</w:t>
            </w:r>
          </w:p>
        </w:tc>
        <w:tc>
          <w:tcPr>
            <w:tcW w:type="dxa" w:w="2232"/>
            <w:vAlign w:val="center"/>
            <w:shd w:fill="1E7C78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Tenant</w:t>
            </w:r>
          </w:p>
        </w:tc>
        <w:tc>
          <w:tcPr>
            <w:tcW w:type="dxa" w:w="1152"/>
            <w:vAlign w:val="center"/>
            <w:shd w:fill="1E7C78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91-120</w:t>
            </w:r>
          </w:p>
        </w:tc>
        <w:tc>
          <w:tcPr>
            <w:tcW w:type="dxa" w:w="1080"/>
            <w:vAlign w:val="center"/>
            <w:shd w:fill="1E7C78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120+</w:t>
            </w:r>
          </w:p>
        </w:tc>
        <w:tc>
          <w:tcPr>
            <w:tcW w:type="dxa" w:w="1224"/>
            <w:vAlign w:val="center"/>
            <w:shd w:fill="1E7C78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Total</w:t>
            </w:r>
          </w:p>
        </w:tc>
        <w:tc>
          <w:tcPr>
            <w:tcW w:type="dxa" w:w="2880"/>
            <w:vAlign w:val="center"/>
            <w:shd w:fill="1E7C78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Action</w:t>
            </w:r>
          </w:p>
        </w:tc>
      </w:tr>
      <w:tr>
        <w:tc>
          <w:tcPr>
            <w:tcW w:type="dxa" w:w="1762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AC-LP-0122</w:t>
              <w:br/>
              <w:t>LP-0122</w:t>
            </w:r>
          </w:p>
        </w:tc>
        <w:tc>
          <w:tcPr>
            <w:tcW w:type="dxa" w:w="1762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Paula Arroyo</w:t>
            </w:r>
          </w:p>
        </w:tc>
        <w:tc>
          <w:tcPr>
            <w:tcW w:type="dxa" w:w="1762"/>
            <w:vAlign w:val="center"/>
          </w:tcPr>
          <w:p>
            <w:pPr>
              <w:jc w:val="righ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$509.60</w:t>
            </w:r>
          </w:p>
        </w:tc>
        <w:tc>
          <w:tcPr>
            <w:tcW w:type="dxa" w:w="1762"/>
            <w:vAlign w:val="center"/>
          </w:tcPr>
          <w:p>
            <w:pPr>
              <w:jc w:val="righ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$0.00</w:t>
            </w:r>
          </w:p>
        </w:tc>
        <w:tc>
          <w:tcPr>
            <w:tcW w:type="dxa" w:w="1762"/>
            <w:vAlign w:val="center"/>
          </w:tcPr>
          <w:p>
            <w:pPr>
              <w:jc w:val="right"/>
            </w:pPr>
            <w:r/>
            <w:r>
              <w:rPr>
                <w:rFonts w:ascii="Liberation Sans" w:hAnsi="Liberation Sans" w:eastAsia="Liberation Sans"/>
                <w:b/>
                <w:color w:val="17202A"/>
                <w:sz w:val="14"/>
              </w:rPr>
              <w:t>$509.60</w:t>
            </w:r>
          </w:p>
        </w:tc>
        <w:tc>
          <w:tcPr>
            <w:tcW w:type="dxa" w:w="1762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Verify payment; pursue</w:t>
            </w:r>
          </w:p>
        </w:tc>
      </w:tr>
      <w:tr>
        <w:tc>
          <w:tcPr>
            <w:tcW w:type="dxa" w:w="1762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AC-LP-0402</w:t>
              <w:br/>
              <w:t>LP-0402</w:t>
            </w:r>
          </w:p>
        </w:tc>
        <w:tc>
          <w:tcPr>
            <w:tcW w:type="dxa" w:w="1762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Dawn Brown</w:t>
            </w:r>
          </w:p>
        </w:tc>
        <w:tc>
          <w:tcPr>
            <w:tcW w:type="dxa" w:w="1762"/>
            <w:vAlign w:val="center"/>
          </w:tcPr>
          <w:p>
            <w:pPr>
              <w:jc w:val="righ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$384.80</w:t>
            </w:r>
          </w:p>
        </w:tc>
        <w:tc>
          <w:tcPr>
            <w:tcW w:type="dxa" w:w="1762"/>
            <w:vAlign w:val="center"/>
          </w:tcPr>
          <w:p>
            <w:pPr>
              <w:jc w:val="righ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$0.00</w:t>
            </w:r>
          </w:p>
        </w:tc>
        <w:tc>
          <w:tcPr>
            <w:tcW w:type="dxa" w:w="1762"/>
            <w:vAlign w:val="center"/>
          </w:tcPr>
          <w:p>
            <w:pPr>
              <w:jc w:val="right"/>
            </w:pPr>
            <w:r/>
            <w:r>
              <w:rPr>
                <w:rFonts w:ascii="Liberation Sans" w:hAnsi="Liberation Sans" w:eastAsia="Liberation Sans"/>
                <w:b/>
                <w:color w:val="17202A"/>
                <w:sz w:val="14"/>
              </w:rPr>
              <w:t>$384.80</w:t>
            </w:r>
          </w:p>
        </w:tc>
        <w:tc>
          <w:tcPr>
            <w:tcW w:type="dxa" w:w="1762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Verify payment; pursue</w:t>
            </w:r>
          </w:p>
        </w:tc>
      </w:tr>
      <w:tr>
        <w:tc>
          <w:tcPr>
            <w:tcW w:type="dxa" w:w="1762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AC-LP-0602</w:t>
              <w:br/>
              <w:t>LP-0602</w:t>
            </w:r>
          </w:p>
        </w:tc>
        <w:tc>
          <w:tcPr>
            <w:tcW w:type="dxa" w:w="1762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Lee Maldonado</w:t>
            </w:r>
          </w:p>
        </w:tc>
        <w:tc>
          <w:tcPr>
            <w:tcW w:type="dxa" w:w="1762"/>
            <w:vAlign w:val="center"/>
          </w:tcPr>
          <w:p>
            <w:pPr>
              <w:jc w:val="righ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$603.20</w:t>
            </w:r>
          </w:p>
        </w:tc>
        <w:tc>
          <w:tcPr>
            <w:tcW w:type="dxa" w:w="1762"/>
            <w:vAlign w:val="center"/>
          </w:tcPr>
          <w:p>
            <w:pPr>
              <w:jc w:val="righ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$603.20</w:t>
            </w:r>
          </w:p>
        </w:tc>
        <w:tc>
          <w:tcPr>
            <w:tcW w:type="dxa" w:w="1762"/>
            <w:vAlign w:val="center"/>
          </w:tcPr>
          <w:p>
            <w:pPr>
              <w:jc w:val="right"/>
            </w:pPr>
            <w:r/>
            <w:r>
              <w:rPr>
                <w:rFonts w:ascii="Liberation Sans" w:hAnsi="Liberation Sans" w:eastAsia="Liberation Sans"/>
                <w:b/>
                <w:color w:val="17202A"/>
                <w:sz w:val="14"/>
              </w:rPr>
              <w:t>$1,206.40</w:t>
            </w:r>
          </w:p>
        </w:tc>
        <w:tc>
          <w:tcPr>
            <w:tcW w:type="dxa" w:w="1762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Verify payment; pursue</w:t>
            </w:r>
          </w:p>
        </w:tc>
      </w:tr>
      <w:tr>
        <w:tc>
          <w:tcPr>
            <w:tcW w:type="dxa" w:w="1762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AC-LP-0605</w:t>
              <w:br/>
              <w:t>LP-0605</w:t>
            </w:r>
          </w:p>
        </w:tc>
        <w:tc>
          <w:tcPr>
            <w:tcW w:type="dxa" w:w="1762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Andrew Anderson</w:t>
            </w:r>
          </w:p>
        </w:tc>
        <w:tc>
          <w:tcPr>
            <w:tcW w:type="dxa" w:w="1762"/>
            <w:vAlign w:val="center"/>
          </w:tcPr>
          <w:p>
            <w:pPr>
              <w:jc w:val="righ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$530.40</w:t>
            </w:r>
          </w:p>
        </w:tc>
        <w:tc>
          <w:tcPr>
            <w:tcW w:type="dxa" w:w="1762"/>
            <w:vAlign w:val="center"/>
          </w:tcPr>
          <w:p>
            <w:pPr>
              <w:jc w:val="righ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$0.00</w:t>
            </w:r>
          </w:p>
        </w:tc>
        <w:tc>
          <w:tcPr>
            <w:tcW w:type="dxa" w:w="1762"/>
            <w:vAlign w:val="center"/>
          </w:tcPr>
          <w:p>
            <w:pPr>
              <w:jc w:val="right"/>
            </w:pPr>
            <w:r/>
            <w:r>
              <w:rPr>
                <w:rFonts w:ascii="Liberation Sans" w:hAnsi="Liberation Sans" w:eastAsia="Liberation Sans"/>
                <w:b/>
                <w:color w:val="17202A"/>
                <w:sz w:val="14"/>
              </w:rPr>
              <w:t>$530.40</w:t>
            </w:r>
          </w:p>
        </w:tc>
        <w:tc>
          <w:tcPr>
            <w:tcW w:type="dxa" w:w="1762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Verify payment; pursue</w:t>
            </w:r>
          </w:p>
        </w:tc>
      </w:tr>
      <w:tr>
        <w:tc>
          <w:tcPr>
            <w:tcW w:type="dxa" w:w="1762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AC-LP-0713</w:t>
              <w:br/>
              <w:t>LP-0713</w:t>
            </w:r>
          </w:p>
        </w:tc>
        <w:tc>
          <w:tcPr>
            <w:tcW w:type="dxa" w:w="1762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Stacey Mitchell</w:t>
            </w:r>
          </w:p>
        </w:tc>
        <w:tc>
          <w:tcPr>
            <w:tcW w:type="dxa" w:w="1762"/>
            <w:vAlign w:val="center"/>
          </w:tcPr>
          <w:p>
            <w:pPr>
              <w:jc w:val="righ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$416.00</w:t>
            </w:r>
          </w:p>
        </w:tc>
        <w:tc>
          <w:tcPr>
            <w:tcW w:type="dxa" w:w="1762"/>
            <w:vAlign w:val="center"/>
          </w:tcPr>
          <w:p>
            <w:pPr>
              <w:jc w:val="righ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$832.00</w:t>
            </w:r>
          </w:p>
        </w:tc>
        <w:tc>
          <w:tcPr>
            <w:tcW w:type="dxa" w:w="1762"/>
            <w:vAlign w:val="center"/>
          </w:tcPr>
          <w:p>
            <w:pPr>
              <w:jc w:val="right"/>
            </w:pPr>
            <w:r/>
            <w:r>
              <w:rPr>
                <w:rFonts w:ascii="Liberation Sans" w:hAnsi="Liberation Sans" w:eastAsia="Liberation Sans"/>
                <w:b/>
                <w:color w:val="17202A"/>
                <w:sz w:val="14"/>
              </w:rPr>
              <w:t>$1,248.00</w:t>
            </w:r>
          </w:p>
        </w:tc>
        <w:tc>
          <w:tcPr>
            <w:tcW w:type="dxa" w:w="1762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Verify payment; pursue</w:t>
            </w:r>
          </w:p>
        </w:tc>
      </w:tr>
      <w:tr>
        <w:tc>
          <w:tcPr>
            <w:tcW w:type="dxa" w:w="1762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AC-LP-0801</w:t>
              <w:br/>
              <w:t>LP-0801</w:t>
            </w:r>
          </w:p>
        </w:tc>
        <w:tc>
          <w:tcPr>
            <w:tcW w:type="dxa" w:w="1762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Allison Nguyen</w:t>
            </w:r>
          </w:p>
        </w:tc>
        <w:tc>
          <w:tcPr>
            <w:tcW w:type="dxa" w:w="1762"/>
            <w:vAlign w:val="center"/>
          </w:tcPr>
          <w:p>
            <w:pPr>
              <w:jc w:val="righ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$488.80</w:t>
            </w:r>
          </w:p>
        </w:tc>
        <w:tc>
          <w:tcPr>
            <w:tcW w:type="dxa" w:w="1762"/>
            <w:vAlign w:val="center"/>
          </w:tcPr>
          <w:p>
            <w:pPr>
              <w:jc w:val="righ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$0.00</w:t>
            </w:r>
          </w:p>
        </w:tc>
        <w:tc>
          <w:tcPr>
            <w:tcW w:type="dxa" w:w="1762"/>
            <w:vAlign w:val="center"/>
          </w:tcPr>
          <w:p>
            <w:pPr>
              <w:jc w:val="right"/>
            </w:pPr>
            <w:r/>
            <w:r>
              <w:rPr>
                <w:rFonts w:ascii="Liberation Sans" w:hAnsi="Liberation Sans" w:eastAsia="Liberation Sans"/>
                <w:b/>
                <w:color w:val="17202A"/>
                <w:sz w:val="14"/>
              </w:rPr>
              <w:t>$488.80</w:t>
            </w:r>
          </w:p>
        </w:tc>
        <w:tc>
          <w:tcPr>
            <w:tcW w:type="dxa" w:w="1762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 w:val="0"/>
                <w:color w:val="17202A"/>
                <w:sz w:val="14"/>
              </w:rPr>
              <w:t>Verify payment; pursue</w:t>
            </w:r>
          </w:p>
        </w:tc>
      </w:tr>
      <w:tr>
        <w:tc>
          <w:tcPr>
            <w:tcW w:type="dxa" w:w="1762"/>
            <w:vAlign w:val="center"/>
            <w:shd w:fill="17324D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TOTAL</w:t>
            </w:r>
          </w:p>
        </w:tc>
        <w:tc>
          <w:tcPr>
            <w:tcW w:type="dxa" w:w="1762"/>
            <w:vAlign w:val="center"/>
            <w:shd w:fill="17324D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6 occupied accounts</w:t>
            </w:r>
          </w:p>
        </w:tc>
        <w:tc>
          <w:tcPr>
            <w:tcW w:type="dxa" w:w="1762"/>
            <w:vAlign w:val="center"/>
            <w:shd w:fill="17324D"/>
          </w:tcPr>
          <w:p>
            <w:pPr>
              <w:jc w:val="righ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$2,932.80</w:t>
            </w:r>
          </w:p>
        </w:tc>
        <w:tc>
          <w:tcPr>
            <w:tcW w:type="dxa" w:w="1762"/>
            <w:vAlign w:val="center"/>
            <w:shd w:fill="17324D"/>
          </w:tcPr>
          <w:p>
            <w:pPr>
              <w:jc w:val="righ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$1,435.20</w:t>
            </w:r>
          </w:p>
        </w:tc>
        <w:tc>
          <w:tcPr>
            <w:tcW w:type="dxa" w:w="1762"/>
            <w:vAlign w:val="center"/>
            <w:shd w:fill="17324D"/>
          </w:tcPr>
          <w:p>
            <w:pPr>
              <w:jc w:val="righ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$4,368.00</w:t>
            </w:r>
          </w:p>
        </w:tc>
        <w:tc>
          <w:tcPr>
            <w:tcW w:type="dxa" w:w="1762"/>
            <w:vAlign w:val="center"/>
            <w:shd w:fill="17324D"/>
          </w:tcPr>
          <w:p>
            <w:pPr>
              <w:jc w:val="left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Subject to same-day check</w:t>
            </w:r>
          </w:p>
        </w:tc>
      </w:tr>
    </w:tbl>
    <w:p>
      <w:pPr>
        <w:spacing w:before="100" w:after="40"/>
      </w:pPr>
      <w:r>
        <w:rPr>
          <w:rFonts w:ascii="Liberation Sans" w:hAnsi="Liberation Sans" w:eastAsia="Liberation Sans"/>
          <w:b/>
          <w:color w:val="17324D"/>
          <w:sz w:val="24"/>
        </w:rPr>
        <w:t>August Billing Reconciliation</w:t>
      </w:r>
    </w:p>
    <w:p>
      <w:pPr>
        <w:spacing w:after="60" w:line="245" w:lineRule="auto"/>
      </w:pPr>
      <w:r>
        <w:rPr>
          <w:rFonts w:ascii="Liberation Sans" w:hAnsi="Liberation Sans" w:eastAsia="Liberation Sans"/>
          <w:color w:val="17202A"/>
          <w:sz w:val="18"/>
        </w:rPr>
        <w:t>Expected monthly moorage is MAX(rounded-up check-in LOA, nominal slip length) multiplied by $10.40 for covered or $7.55 for open moorage. This follows Tariff Resolution 2019-14 s.1(4), ss.2.4 and 7.3, as amended by Resolution 2022-06 ss.1.1-1.3 and 2.1. For 1,086 occupied slips, expected pre-tax charges are $439,918.30; 769 postings total $319,760.05; variance is -$120,158.25. Ledgport, Vessbank and Eastwey reconcile. The export stops partway through Gullwing and contains no Salmonberry postings, so the evidence cannot distinguish an incomplete run from an incomplete export.</w:t>
      </w:r>
    </w:p>
    <w:p>
      <w:r>
        <w:br w:type="page"/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17324D"/>
          <w:sz w:val="24"/>
        </w:rPr>
        <w:t>Queue Integrity</w:t>
      </w:r>
    </w:p>
    <w:p>
      <w:pPr>
        <w:spacing w:after="60" w:line="245" w:lineRule="auto"/>
      </w:pPr>
      <w:r>
        <w:rPr>
          <w:rFonts w:ascii="Liberation Sans" w:hAnsi="Liberation Sans" w:eastAsia="Liberation Sans"/>
          <w:color w:val="17202A"/>
          <w:sz w:val="18"/>
        </w:rPr>
        <w:t>Standing Order 15-3 ss.3.2-3.3 requires a cover sheet plus the supporting record on the day the slip is worked. Appeal 2018-3, pp.2-3, places the burden on the District and rejects later assembly as a cure. Applying the clerk's stated audit rule, a skip passes only if an actual justification PDF exists, includes underlying support, review_date is on or before skip_date, and the PDF reconciles to both skip_events and offer_events.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DD3D8"/>
          <w:left w:val="single" w:sz="4" w:color="CDD3D8"/>
          <w:bottom w:val="single" w:sz="4" w:color="CDD3D8"/>
          <w:right w:val="single" w:sz="4" w:color="CDD3D8"/>
          <w:insideH w:val="single" w:sz="4" w:color="CDD3D8"/>
          <w:insideV w:val="single" w:sz="4" w:color="CDD3D8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3024"/>
            <w:vAlign w:val="center"/>
            <w:shd w:fill="1E7C78"/>
          </w:tcPr>
          <w:p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Control population</w:t>
            </w:r>
          </w:p>
        </w:tc>
        <w:tc>
          <w:tcPr>
            <w:tcW w:type="dxa" w:w="2016"/>
            <w:vAlign w:val="center"/>
            <w:shd w:fill="1E7C78"/>
          </w:tcPr>
          <w:p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1152"/>
            <w:vAlign w:val="center"/>
            <w:shd w:fill="1E7C78"/>
          </w:tcPr>
          <w:p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4608"/>
            <w:vAlign w:val="center"/>
            <w:shd w:fill="1E7C78"/>
          </w:tcPr>
          <w:p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Implication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17202A"/>
                <w:sz w:val="15"/>
              </w:rPr>
              <w:t>Skips, 2023-01-01 to 2026-07-31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17202A"/>
                <w:sz w:val="15"/>
              </w:rPr>
              <w:t>309 unsubstantiated</w:t>
            </w:r>
          </w:p>
        </w:tc>
        <w:tc>
          <w:tcPr>
            <w:tcW w:type="dxa" w:w="2642"/>
            <w:vAlign w:val="center"/>
            <w:shd w:fill="FDE7E5"/>
          </w:tcPr>
          <w:p>
            <w:r/>
            <w:r>
              <w:rPr>
                <w:rFonts w:ascii="Liberation Sans" w:hAnsi="Liberation Sans" w:eastAsia="Liberation Sans"/>
                <w:b/>
                <w:color w:val="17202A"/>
                <w:sz w:val="15"/>
              </w:rPr>
              <w:t>P1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17202A"/>
                <w:sz w:val="15"/>
              </w:rPr>
              <w:t>304 have matching offers but no supplied PDF; five PDFs conflict with event slips and reference absent offers.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17202A"/>
                <w:sz w:val="15"/>
              </w:rPr>
              <w:t>LOA amendments, 2022-08-01 to 2026-08-07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17202A"/>
                <w:sz w:val="15"/>
              </w:rPr>
              <w:t>2 supported; 198 unsupported</w:t>
            </w:r>
          </w:p>
        </w:tc>
        <w:tc>
          <w:tcPr>
            <w:tcW w:type="dxa" w:w="2642"/>
            <w:vAlign w:val="center"/>
            <w:shd w:fill="FDE7E5"/>
          </w:tcPr>
          <w:p>
            <w:r/>
            <w:r>
              <w:rPr>
                <w:rFonts w:ascii="Liberation Sans" w:hAnsi="Liberation Sans" w:eastAsia="Liberation Sans"/>
                <w:b/>
                <w:color w:val="17202A"/>
                <w:sz w:val="15"/>
              </w:rPr>
              <w:t>14 P1; 184 P2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17202A"/>
                <w:sz w:val="15"/>
              </w:rPr>
              <w:t>Only AMD-001288 and AMD-001702 reconcile to actual qualifying supplied documents.</w:t>
            </w:r>
          </w:p>
        </w:tc>
      </w:tr>
      <w:tr>
        <w:tc>
          <w:tcPr>
            <w:tcW w:type="dxa" w:w="264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17202A"/>
                <w:sz w:val="15"/>
              </w:rPr>
              <w:t>Billing transaction arithmetic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17202A"/>
                <w:sz w:val="15"/>
              </w:rPr>
              <w:t>0 errors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17202A"/>
                <w:sz w:val="15"/>
              </w:rPr>
              <w:t>P3: 0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17202A"/>
                <w:sz w:val="15"/>
              </w:rPr>
              <w:t>All foot-month, charge, and amount-plus-tax total checks reconcile by formula.</w:t>
            </w:r>
          </w:p>
        </w:tc>
      </w:tr>
    </w:tbl>
    <w:p>
      <w:pPr>
        <w:spacing w:before="60" w:after="40"/>
      </w:pPr>
      <w:r>
        <w:rPr>
          <w:rFonts w:ascii="Liberation Sans" w:hAnsi="Liberation Sans" w:eastAsia="Liberation Sans"/>
          <w:b/>
          <w:color w:val="1E7C78"/>
          <w:sz w:val="20"/>
        </w:rPr>
        <w:t>Five PDF Reconciliation Failures</w:t>
      </w:r>
    </w:p>
    <w:p>
      <w:pPr>
        <w:spacing w:after="60" w:line="245" w:lineRule="auto"/>
      </w:pPr>
      <w:r>
        <w:rPr>
          <w:rFonts w:ascii="Liberation Sans" w:hAnsi="Liberation Sans" w:eastAsia="Liberation Sans"/>
          <w:color w:val="17202A"/>
          <w:sz w:val="18"/>
        </w:rPr>
        <w:t>The five in-scope justification PDFs are not proof of their event rows: WL-02618 is cover-only and names EW-0414 instead of GW-0610; WL-03044 is cover-only and names open EW-0603 instead of covered VB-0904; WL-03390 is cover-only and names VB-0144 instead of SB-0120; WL-02877 has substantive beam support for GW-0702 rather than GW-1012; and WL-03102 has substantive preference support for open EW-0620 rather than covered LP-0806. Each referenced OFR-2023/2024/2025-1487 is absent from offer_events_2022_2026.csv. Review dates are two days after the skip dates. The workbook's Evidence Register and Queue Exceptions sheets give file/page citations.</w:t>
      </w:r>
    </w:p>
    <w:p>
      <w:pPr>
        <w:spacing w:before="60" w:after="40"/>
      </w:pPr>
      <w:r>
        <w:rPr>
          <w:rFonts w:ascii="Liberation Sans" w:hAnsi="Liberation Sans" w:eastAsia="Liberation Sans"/>
          <w:b/>
          <w:color w:val="1E7C78"/>
          <w:sz w:val="20"/>
        </w:rPr>
        <w:t>Length Evidence and Certificate Classification</w:t>
      </w:r>
    </w:p>
    <w:p>
      <w:pPr>
        <w:spacing w:after="60" w:line="245" w:lineRule="auto"/>
      </w:pPr>
      <w:r>
        <w:rPr>
          <w:rFonts w:ascii="Liberation Sans" w:hAnsi="Liberation Sans" w:eastAsia="Liberation Sans"/>
          <w:color w:val="17202A"/>
          <w:sz w:val="18"/>
        </w:rPr>
        <w:t>Resolution 2022-06 ss.4.3, 6.1-6.2 and 8.1 governs post-August 1, 2022 LOA changes. AMD-001288 (WL-02401, 31.7 ft) is supported by MC-2024-0091; AMD-001702 (WL-03102, 35.8 ft) is supported by the June 29, 2025 Foldview haul-out sheet. The June 3, 2024 certificate for WL-01893 records 31.4 ft, rounded to 32, and names covered slip VB-0208, but current inventory assigns that 40-foot slip to WL-03499; it is not used for August billing. MC-2024-0091 names no slip and WL-02401 has no occupied inventory row, so current covered/open status cannot be determined.</w:t>
      </w:r>
    </w:p>
    <w:p>
      <w:pPr>
        <w:spacing w:before="60" w:after="40"/>
      </w:pPr>
      <w:r>
        <w:rPr>
          <w:rFonts w:ascii="Liberation Sans" w:hAnsi="Liberation Sans" w:eastAsia="Liberation Sans"/>
          <w:b/>
          <w:color w:val="1E7C78"/>
          <w:sz w:val="20"/>
        </w:rPr>
        <w:t>Additional Control and Evidence Limits</w:t>
      </w:r>
    </w:p>
    <w:p>
      <w:pPr>
        <w:spacing w:after="60" w:line="245" w:lineRule="auto"/>
      </w:pPr>
      <w:r>
        <w:rPr>
          <w:rFonts w:ascii="Liberation Sans" w:hAnsi="Liberation Sans" w:eastAsia="Liberation Sans"/>
          <w:color w:val="17202A"/>
          <w:sz w:val="18"/>
        </w:rPr>
        <w:t>The billing formula identifies 228 occupied covered slips with billable length above the 40-foot eligibility limit in Resolution 2022-06 s.1.1. The audit charges the greater length rather than capping at 40 because the rule is an occupancy limit, not a billing cap; Board direction is needed on compliance review. The billing export also contains payment dates after August 7, so payment_status was not used to determine delinquency as of the meeting date.</w:t>
      </w:r>
    </w:p>
    <w:p>
      <w:pPr>
        <w:spacing w:before="60" w:after="40"/>
      </w:pPr>
      <w:r>
        <w:rPr>
          <w:rFonts w:ascii="Liberation Sans" w:hAnsi="Liberation Sans" w:eastAsia="Liberation Sans"/>
          <w:b/>
          <w:color w:val="1E7C78"/>
          <w:sz w:val="20"/>
        </w:rPr>
        <w:t>Recommended Record Actions</w:t>
      </w:r>
    </w:p>
    <w:p>
      <w:pPr>
        <w:spacing w:after="60" w:line="245" w:lineRule="auto"/>
      </w:pPr>
      <w:r>
        <w:rPr>
          <w:rFonts w:ascii="Liberation Sans" w:hAnsi="Liberation Sans" w:eastAsia="Liberation Sans"/>
          <w:color w:val="17202A"/>
          <w:sz w:val="18"/>
        </w:rPr>
        <w:t>1. Finance: run a current payment check for the six accounts, issue the complete August 7 aging, and complete or re-export August moorage postings. 2. Waiting List Administration: preserve ranks, identify all offers or assignments downstream of P1 records, and prepare applicant-specific remedy recommendations under Appeal 2018-3. 3. Harbormaster: prevent unsupported LOA changes from affecting future offers and review covered-slip eligibility. 4. Board Clerk: retain the workbook with source files as the audit trail; do not treat recreated files as contemporaneous proof.</w:t>
      </w:r>
    </w:p>
    <w:p>
      <w:pPr>
        <w:spacing w:before="60" w:after="40"/>
      </w:pPr>
      <w:r>
        <w:rPr>
          <w:rFonts w:ascii="Liberation Sans" w:hAnsi="Liberation Sans" w:eastAsia="Liberation Sans"/>
          <w:b/>
          <w:color w:val="1E7C78"/>
          <w:sz w:val="20"/>
        </w:rPr>
        <w:t>Source Note</w:t>
      </w:r>
    </w:p>
    <w:p>
      <w:pPr>
        <w:spacing w:after="60" w:line="245" w:lineRule="auto"/>
      </w:pPr>
      <w:r>
        <w:rPr>
          <w:rFonts w:ascii="Liberation Sans" w:hAnsi="Liberation Sans" w:eastAsia="Liberation Sans"/>
          <w:color w:val="17202A"/>
          <w:sz w:val="18"/>
        </w:rPr>
        <w:t>Figures are derived in chaldale_moorage_audit_2026-08.xlsx. Principal data sources are skip_events_2022_2026.csv, offer_events_2022_2026.csv, amendment_log_2022_2026.csv, slip_inventory_2026-08.csv, billing_transactions_2022_2026.csv, and ar_aging_2026-07-31.xlsx (AR_Aging rows 3-262; Summary rows 5-7). Governing records are Standing Order 15-3, Resolution 2022-06, Tariff Resolution 2019-14, and Appeal 2018-3. The workbook lists every physical evidence file and exact citation.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835" w:bottom="691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C6670"/>
        <w:sz w:val="15"/>
      </w:rPr>
      <w:t xml:space="preserve">Confidential Board working paper  |  7 August 2026  |  Page </w:t>
    </w:r>
    <w: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C6670"/>
        <w:sz w:val="15"/>
      </w:rPr>
      <w:t xml:space="preserve"> of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17324D"/>
        <w:sz w:val="16"/>
      </w:rPr>
      <w:t>CHALDALE HARBOR DISTRICT  |  BOARD MEMORANDUM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Liberation Sans" w:hAnsi="Liberation Sans" w:eastAsia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