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40"/>
        <w:gridCol w:w="3240"/>
      </w:tblGrid>
      <w:tr>
        <w:tc>
          <w:tcPr>
            <w:tcW w:type="dxa" w:w="5227"/>
            <w:shd w:fill="17324D"/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26"/>
              </w:rPr>
              <w:t>CHALDALE HARBOR DISTRICT</w:t>
            </w:r>
          </w:p>
        </w:tc>
        <w:tc>
          <w:tcPr>
            <w:tcW w:type="dxa" w:w="5227"/>
            <w:shd w:fill="147D88"/>
            <w:vAlign w:val="center"/>
          </w:tcPr>
          <w:p>
            <w:pPr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BOARD MEMORANDUM</w:t>
            </w:r>
          </w:p>
        </w:tc>
      </w:tr>
    </w:tbl>
    <w:p>
      <w:pPr>
        <w:spacing w:before="120" w:after="20"/>
      </w:pPr>
      <w:r>
        <w:rPr>
          <w:rFonts w:ascii="Liberation Sans" w:hAnsi="Liberation Sans"/>
          <w:b/>
          <w:color w:val="147D88"/>
          <w:sz w:val="16"/>
        </w:rPr>
        <w:t xml:space="preserve">TO  </w:t>
      </w:r>
      <w:r>
        <w:rPr>
          <w:rFonts w:ascii="Liberation Sans" w:hAnsi="Liberation Sans"/>
          <w:b/>
          <w:color w:val="17324D"/>
          <w:sz w:val="19"/>
        </w:rPr>
        <w:t>Board of Harbor Commissioners</w:t>
      </w:r>
      <w:r>
        <w:rPr>
          <w:rFonts w:ascii="Liberation Sans" w:hAnsi="Liberation Sans"/>
          <w:b/>
          <w:color w:val="147D88"/>
          <w:sz w:val="16"/>
        </w:rPr>
        <w:t xml:space="preserve">     FROM  </w:t>
      </w:r>
      <w:r>
        <w:rPr>
          <w:rFonts w:ascii="Liberation Sans" w:hAnsi="Liberation Sans"/>
          <w:b/>
          <w:color w:val="17324D"/>
          <w:sz w:val="19"/>
        </w:rPr>
        <w:t>Moorage Counter Clerk</w:t>
      </w:r>
    </w:p>
    <w:p>
      <w:pPr>
        <w:spacing w:after="60"/>
      </w:pPr>
      <w:r>
        <w:rPr>
          <w:rFonts w:ascii="Liberation Sans" w:hAnsi="Liberation Sans"/>
          <w:b/>
          <w:color w:val="147D88"/>
          <w:sz w:val="16"/>
        </w:rPr>
        <w:t xml:space="preserve">DATE  </w:t>
      </w:r>
      <w:r>
        <w:rPr>
          <w:rFonts w:ascii="Liberation Sans" w:hAnsi="Liberation Sans"/>
          <w:b/>
          <w:color w:val="17324D"/>
          <w:sz w:val="19"/>
        </w:rPr>
        <w:t>7 August 2026</w:t>
      </w:r>
      <w:r>
        <w:rPr>
          <w:rFonts w:ascii="Liberation Sans" w:hAnsi="Liberation Sans"/>
          <w:b/>
          <w:color w:val="147D88"/>
          <w:sz w:val="16"/>
        </w:rPr>
        <w:t xml:space="preserve">     SUBJECT  </w:t>
      </w:r>
      <w:r>
        <w:rPr>
          <w:rFonts w:ascii="Liberation Sans" w:hAnsi="Liberation Sans"/>
          <w:b/>
          <w:color w:val="17324D"/>
          <w:sz w:val="19"/>
        </w:rPr>
        <w:t>Moorage queue, billing and collection audit</w:t>
      </w:r>
    </w:p>
    <w:p>
      <w:pPr>
        <w:pStyle w:val="Heading1"/>
      </w:pPr>
      <w:r>
        <w:t>Recommendation</w:t>
      </w:r>
    </w:p>
    <w:p>
      <w:pPr>
        <w:spacing w:after="80"/>
      </w:pPr>
      <w:r>
        <w:rPr>
          <w:rFonts w:ascii="Liberation Sans" w:hAnsi="Liberation Sans"/>
          <w:b/>
          <w:color w:val="B73A3A"/>
        </w:rPr>
        <w:t xml:space="preserve">Do not authorize collection referrals or rely on the audited queue actions this Friday. </w:t>
      </w:r>
      <w:r>
        <w:rPr>
          <w:rFonts w:ascii="Liberation Sans" w:hAnsi="Liberation Sans"/>
          <w:b w:val="0"/>
          <w:color w:val="24323E"/>
        </w:rPr>
        <w:t>Authorize targeted reconciliation first: preserve affected waiting-list rank, suspend unsupported length changes, obtain the complete August billing control, and reconcile AR payment applications. The attached workbook provides every record and formula.</w:t>
      </w:r>
    </w:p>
    <w:p>
      <w:pPr>
        <w:spacing w:after="40"/>
      </w:pPr>
      <w:r>
        <w:rPr>
          <w:rFonts w:ascii="Liberation Sans" w:hAnsi="Liberation Sans"/>
          <w:b w:val="0"/>
          <w:color w:val="5D6B78"/>
          <w:sz w:val="14"/>
        </w:rPr>
        <w:t>Table 1. Formula-derived audit controls from skip_events_2022_2026.csv, amendment_log_2022_2026.csv, slip_inventory_2026-08.csv, billing_transactions_2022_2026.csv and ar_aging_2026-07-31.xlsx.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16"/>
        <w:gridCol w:w="4464"/>
      </w:tblGrid>
      <w:tr>
        <w:tc>
          <w:tcPr>
            <w:tcW w:type="dxa" w:w="3485"/>
            <w:shd w:fill="17324D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Control area</w:t>
            </w:r>
          </w:p>
        </w:tc>
        <w:tc>
          <w:tcPr>
            <w:tcW w:type="dxa" w:w="3485"/>
            <w:shd w:fill="17324D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Formula-derived result</w:t>
            </w:r>
          </w:p>
        </w:tc>
        <w:tc>
          <w:tcPr>
            <w:tcW w:type="dxa" w:w="3485"/>
            <w:shd w:fill="17324D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Board implication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5"/>
              </w:rPr>
              <w:t>Skip files</w:t>
            </w:r>
          </w:p>
        </w:tc>
        <w:tc>
          <w:tcPr>
            <w:tcW w:type="dxa" w:w="3816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5"/>
              </w:rPr>
              <w:t>309 P1 skips; 0 reconciled support files</w:t>
            </w:r>
          </w:p>
        </w:tc>
        <w:tc>
          <w:tcPr>
            <w:tcW w:type="dxa" w:w="4464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5"/>
              </w:rPr>
              <w:t>Potential rank-order departures require review</w:t>
            </w:r>
          </w:p>
        </w:tc>
      </w:tr>
      <w:tr>
        <w:tc>
          <w:tcPr>
            <w:tcW w:type="dxa" w:w="1872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5"/>
              </w:rPr>
              <w:t>LOA amendments</w:t>
            </w:r>
          </w:p>
        </w:tc>
        <w:tc>
          <w:tcPr>
            <w:tcW w:type="dxa" w:w="3816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5"/>
              </w:rPr>
              <w:t>200 unsupported: 15 P1 / 185 P2</w:t>
            </w:r>
          </w:p>
        </w:tc>
        <w:tc>
          <w:tcPr>
            <w:tcW w:type="dxa" w:w="4464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5"/>
              </w:rPr>
              <w:t>Do not use until valid evidence is filed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5"/>
              </w:rPr>
              <w:t>August billing</w:t>
            </w:r>
          </w:p>
        </w:tc>
        <w:tc>
          <w:tcPr>
            <w:tcW w:type="dxa" w:w="3816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5"/>
              </w:rPr>
              <w:t>$319,760.05 actual vs $439,918.30 expected; $-120,158.25</w:t>
            </w:r>
          </w:p>
        </w:tc>
        <w:tc>
          <w:tcPr>
            <w:tcW w:type="dxa" w:w="4464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5"/>
              </w:rPr>
              <w:t>317 occupied slips absent from extract</w:t>
            </w:r>
          </w:p>
        </w:tc>
      </w:tr>
      <w:tr>
        <w:tc>
          <w:tcPr>
            <w:tcW w:type="dxa" w:w="1872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5"/>
              </w:rPr>
              <w:t>Over-90 aging</w:t>
            </w:r>
          </w:p>
        </w:tc>
        <w:tc>
          <w:tcPr>
            <w:tcW w:type="dxa" w:w="3816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5"/>
              </w:rPr>
              <w:t>6 accounts / $4,368.00</w:t>
            </w:r>
          </w:p>
        </w:tc>
        <w:tc>
          <w:tcPr>
            <w:tcW w:type="dxa" w:w="4464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5"/>
              </w:rPr>
              <w:t>Paid-status conflicts; hold referral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5"/>
              </w:rPr>
              <w:t>Subledger totals</w:t>
            </w:r>
          </w:p>
        </w:tc>
        <w:tc>
          <w:tcPr>
            <w:tcW w:type="dxa" w:w="3816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5"/>
              </w:rPr>
              <w:t>39 P3 rows / $17,108.00 understatement</w:t>
            </w:r>
          </w:p>
        </w:tc>
        <w:tc>
          <w:tcPr>
            <w:tcW w:type="dxa" w:w="4464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5"/>
              </w:rPr>
              <w:t>Correct and reissue aging</w:t>
            </w:r>
          </w:p>
        </w:tc>
      </w:tr>
    </w:tbl>
    <w:p>
      <w:pPr>
        <w:pStyle w:val="Heading1"/>
      </w:pPr>
      <w:r>
        <w:t>Immediate decisions requested</w:t>
      </w:r>
    </w:p>
    <w:p>
      <w:pPr>
        <w:pStyle w:val="ListBullet"/>
        <w:spacing w:after="50"/>
        <w:ind w:left="259" w:hanging="187"/>
      </w:pPr>
      <w:r>
        <w:rPr>
          <w:rFonts w:ascii="Liberation Sans" w:hAnsi="Liberation Sans"/>
          <w:b/>
          <w:color w:val="17324D"/>
        </w:rPr>
        <w:t>Queue:</w:t>
      </w:r>
      <w:r>
        <w:rPr>
          <w:rFonts w:ascii="Liberation Sans" w:hAnsi="Liberation Sans"/>
          <w:b w:val="0"/>
          <w:color w:val="24323E"/>
        </w:rPr>
        <w:t xml:space="preserve"> direct staff to preserve rank and suspend reliance on the 309 audited skips pending a record-level remedy analysis.</w:t>
      </w:r>
    </w:p>
    <w:p>
      <w:pPr>
        <w:pStyle w:val="ListBullet"/>
        <w:spacing w:after="50"/>
        <w:ind w:left="259" w:hanging="187"/>
      </w:pPr>
      <w:r>
        <w:rPr>
          <w:rFonts w:ascii="Liberation Sans" w:hAnsi="Liberation Sans"/>
          <w:b/>
          <w:color w:val="17324D"/>
        </w:rPr>
        <w:t>Length:</w:t>
      </w:r>
      <w:r>
        <w:rPr>
          <w:rFonts w:ascii="Liberation Sans" w:hAnsi="Liberation Sans"/>
          <w:b w:val="0"/>
          <w:color w:val="24323E"/>
        </w:rPr>
        <w:t xml:space="preserve"> flag all 200 post-adoption LOA amendments through the audit date; review the 15 that precede a downstream skip first.</w:t>
      </w:r>
    </w:p>
    <w:p>
      <w:pPr>
        <w:pStyle w:val="ListBullet"/>
        <w:spacing w:after="50"/>
        <w:ind w:left="259" w:hanging="187"/>
      </w:pPr>
      <w:r>
        <w:rPr>
          <w:rFonts w:ascii="Liberation Sans" w:hAnsi="Liberation Sans"/>
          <w:b/>
          <w:color w:val="17324D"/>
        </w:rPr>
        <w:t>Billing:</w:t>
      </w:r>
      <w:r>
        <w:rPr>
          <w:rFonts w:ascii="Liberation Sans" w:hAnsi="Liberation Sans"/>
          <w:b w:val="0"/>
          <w:color w:val="24323E"/>
        </w:rPr>
        <w:t xml:space="preserve"> require a complete billing-run or ledger extract for 317 occupied slips absent from August transactions before posting catch-up charges.</w:t>
      </w:r>
    </w:p>
    <w:p>
      <w:pPr>
        <w:pStyle w:val="ListBullet"/>
        <w:spacing w:after="50"/>
        <w:ind w:left="259" w:hanging="187"/>
      </w:pPr>
      <w:r>
        <w:rPr>
          <w:rFonts w:ascii="Liberation Sans" w:hAnsi="Liberation Sans"/>
          <w:b/>
          <w:color w:val="17324D"/>
        </w:rPr>
        <w:t>Collections:</w:t>
      </w:r>
      <w:r>
        <w:rPr>
          <w:rFonts w:ascii="Liberation Sans" w:hAnsi="Liberation Sans"/>
          <w:b w:val="0"/>
          <w:color w:val="24323E"/>
        </w:rPr>
        <w:t xml:space="preserve"> place a temporary hold on the six accounts below until AR payment applications resolve the paid-status conflict.</w:t>
      </w:r>
    </w:p>
    <w:p>
      <w:pPr>
        <w:pStyle w:val="ListBullet"/>
        <w:spacing w:after="50"/>
        <w:ind w:left="259" w:hanging="187"/>
      </w:pPr>
      <w:r>
        <w:rPr>
          <w:rFonts w:ascii="Liberation Sans" w:hAnsi="Liberation Sans"/>
          <w:b/>
          <w:color w:val="17324D"/>
        </w:rPr>
        <w:t>Subledger:</w:t>
      </w:r>
      <w:r>
        <w:rPr>
          <w:rFonts w:ascii="Liberation Sans" w:hAnsi="Liberation Sans"/>
          <w:b w:val="0"/>
          <w:color w:val="24323E"/>
        </w:rPr>
        <w:t xml:space="preserve"> correct the 39 total_due errors and require formula-based aging controls going forward.</w:t>
      </w:r>
    </w:p>
    <w:p>
      <w:pPr>
        <w:pStyle w:val="Heading1"/>
      </w:pPr>
      <w:r>
        <w:t>Why the queue evidence fails</w:t>
      </w:r>
    </w:p>
    <w:p>
      <w:pPr>
        <w:spacing w:after="40"/>
      </w:pPr>
      <w:r>
        <w:rPr>
          <w:rFonts w:ascii="Liberation Sans" w:hAnsi="Liberation Sans"/>
          <w:b w:val="0"/>
          <w:color w:val="24323E"/>
        </w:rPr>
        <w:t xml:space="preserve">Standing Order 15-3 ss.3.2-3.3 requires the cover and supporting record on the day the slip is worked; </w:t>
      </w:r>
      <w:r>
        <w:rPr>
          <w:rFonts w:ascii="Liberation Sans" w:hAnsi="Liberation Sans"/>
          <w:b/>
          <w:color w:val="24323E"/>
        </w:rPr>
        <w:t>appeal_2018-3_decision.pdf</w:t>
      </w:r>
      <w:r>
        <w:rPr>
          <w:rFonts w:ascii="Liberation Sans" w:hAnsi="Liberation Sans"/>
          <w:b w:val="0"/>
          <w:color w:val="24323E"/>
        </w:rPr>
        <w:t xml:space="preserve"> pp.2-3 puts the burden on the District and rejects later assembly. Under the requested test, review_date is the assembly date and an actual substantive PDF must exist.</w:t>
      </w:r>
    </w:p>
    <w:p>
      <w:pPr>
        <w:spacing w:after="0"/>
      </w:pPr>
      <w:r>
        <w:rPr>
          <w:rFonts w:ascii="Liberation Sans" w:hAnsi="Liberation Sans"/>
          <w:b w:val="0"/>
          <w:color w:val="24323E"/>
        </w:rPr>
        <w:t xml:space="preserve">Only five supplied PDFs fall in the window. Three are cover-only. The two substantive files, </w:t>
      </w:r>
      <w:r>
        <w:rPr>
          <w:rFonts w:ascii="Liberation Sans" w:hAnsi="Liberation Sans"/>
          <w:b/>
          <w:color w:val="17324D"/>
        </w:rPr>
        <w:t>WL-02877</w:t>
      </w:r>
      <w:r>
        <w:rPr>
          <w:rFonts w:ascii="Liberation Sans" w:hAnsi="Liberation Sans"/>
          <w:b w:val="0"/>
          <w:color w:val="24323E"/>
        </w:rPr>
        <w:t xml:space="preserve"> and </w:t>
      </w:r>
      <w:r>
        <w:rPr>
          <w:rFonts w:ascii="Liberation Sans" w:hAnsi="Liberation Sans"/>
          <w:b/>
          <w:color w:val="17324D"/>
        </w:rPr>
        <w:t>WL-03102</w:t>
      </w:r>
      <w:r>
        <w:rPr>
          <w:rFonts w:ascii="Liberation Sans" w:hAnsi="Liberation Sans"/>
          <w:b w:val="0"/>
          <w:color w:val="24323E"/>
        </w:rPr>
        <w:t>, were reviewed two days late, name slips different from skip_events, and point to offer IDs absent from offer_events. Thus none reconciles to the event it would support. See Skip Audit and Skip PDF Evidence.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40"/>
        <w:gridCol w:w="3240"/>
      </w:tblGrid>
      <w:tr>
        <w:tc>
          <w:tcPr>
            <w:tcW w:type="dxa" w:w="5227"/>
            <w:shd w:fill="17324D"/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26"/>
              </w:rPr>
              <w:t>CHALDALE HARBOR DISTRICT</w:t>
            </w:r>
          </w:p>
        </w:tc>
        <w:tc>
          <w:tcPr>
            <w:tcW w:type="dxa" w:w="5227"/>
            <w:shd w:fill="147D88"/>
            <w:vAlign w:val="center"/>
          </w:tcPr>
          <w:p>
            <w:pPr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BOARD MEMORANDUM</w:t>
            </w:r>
          </w:p>
        </w:tc>
      </w:tr>
    </w:tbl>
    <w:p>
      <w:pPr>
        <w:spacing w:before="100" w:after="40"/>
      </w:pPr>
      <w:r>
        <w:rPr>
          <w:rFonts w:ascii="Liberation Sans" w:hAnsi="Liberation Sans"/>
          <w:b/>
          <w:color w:val="17324D"/>
          <w:sz w:val="22"/>
        </w:rPr>
        <w:t>BOARD MEMORANDUM  |  FINDINGS AND COLLECTION HOLD</w:t>
      </w:r>
    </w:p>
    <w:p>
      <w:pPr>
        <w:pStyle w:val="Heading1"/>
      </w:pPr>
      <w:r>
        <w:t>Collection candidates: provisional only</w:t>
      </w:r>
    </w:p>
    <w:p>
      <w:pPr>
        <w:spacing w:after="80"/>
      </w:pPr>
      <w:r>
        <w:rPr>
          <w:rFonts w:ascii="Liberation Sans" w:hAnsi="Liberation Sans"/>
          <w:b w:val="0"/>
          <w:color w:val="24323E"/>
        </w:rPr>
        <w:t xml:space="preserve">The AR_Aging sheet in ar_aging_2026-07-31.xlsx governs the requested 91-120 and 120+ classification. It identifies six occupied Ledgport accounts totaling </w:t>
      </w:r>
      <w:r>
        <w:rPr>
          <w:rFonts w:ascii="Liberation Sans" w:hAnsi="Liberation Sans"/>
          <w:b/>
          <w:color w:val="B73A3A"/>
        </w:rPr>
        <w:t>$4,368.00</w:t>
      </w:r>
      <w:r>
        <w:rPr>
          <w:rFonts w:ascii="Liberation Sans" w:hAnsi="Liberation Sans"/>
          <w:b w:val="0"/>
          <w:color w:val="24323E"/>
        </w:rPr>
        <w:t xml:space="preserve"> over 90 days. billing_transactions_2022_2026.csv marks each corresponding April monthly charge PAID, so the evidence does not support referral until AR subledger and payment-application detail settle the conflict.</w:t>
      </w:r>
    </w:p>
    <w:p>
      <w:pPr>
        <w:spacing w:after="40"/>
      </w:pPr>
      <w:r>
        <w:rPr>
          <w:rFonts w:ascii="Liberation Sans" w:hAnsi="Liberation Sans"/>
          <w:b w:val="0"/>
          <w:color w:val="5D6B78"/>
          <w:sz w:val="14"/>
        </w:rPr>
        <w:t>Table 2. AR_Aging sheet in ar_aging_2026-07-31.xlsx (as of 31 July 2026), joined to slip_inventory_2026-08.csv and checked against April 2026 rows in billing_transactions_2022_2026.csv.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1037"/>
        <w:gridCol w:w="936"/>
        <w:gridCol w:w="1080"/>
        <w:gridCol w:w="2880"/>
      </w:tblGrid>
      <w:tr>
        <w:tc>
          <w:tcPr>
            <w:tcW w:type="dxa" w:w="1742"/>
            <w:shd w:fill="17324D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Account / slip</w:t>
            </w:r>
          </w:p>
        </w:tc>
        <w:tc>
          <w:tcPr>
            <w:tcW w:type="dxa" w:w="1742"/>
            <w:shd w:fill="17324D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Tenant</w:t>
            </w:r>
          </w:p>
        </w:tc>
        <w:tc>
          <w:tcPr>
            <w:tcW w:type="dxa" w:w="1742"/>
            <w:shd w:fill="17324D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91-120</w:t>
            </w:r>
          </w:p>
        </w:tc>
        <w:tc>
          <w:tcPr>
            <w:tcW w:type="dxa" w:w="1742"/>
            <w:shd w:fill="17324D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120+</w:t>
            </w:r>
          </w:p>
        </w:tc>
        <w:tc>
          <w:tcPr>
            <w:tcW w:type="dxa" w:w="1742"/>
            <w:shd w:fill="17324D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Over-90</w:t>
            </w:r>
          </w:p>
        </w:tc>
        <w:tc>
          <w:tcPr>
            <w:tcW w:type="dxa" w:w="1742"/>
            <w:shd w:fill="17324D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AC-LP-0122</w:t>
              <w:br/>
              <w:t>LP-0122</w:t>
            </w:r>
          </w:p>
        </w:tc>
        <w:tc>
          <w:tcPr>
            <w:tcW w:type="dxa" w:w="1944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Paula Arroyo</w:t>
            </w:r>
          </w:p>
        </w:tc>
        <w:tc>
          <w:tcPr>
            <w:tcW w:type="dxa" w:w="1037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$509.60</w:t>
            </w:r>
          </w:p>
        </w:tc>
        <w:tc>
          <w:tcPr>
            <w:tcW w:type="dxa" w:w="936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$0.00</w:t>
            </w:r>
          </w:p>
        </w:tc>
        <w:tc>
          <w:tcPr>
            <w:tcW w:type="dxa" w:w="1080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$509.60</w:t>
            </w:r>
          </w:p>
        </w:tc>
        <w:tc>
          <w:tcPr>
            <w:tcW w:type="dxa" w:w="2880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HOLD - April line marked paid</w:t>
            </w:r>
          </w:p>
        </w:tc>
      </w:tr>
      <w:tr>
        <w:tc>
          <w:tcPr>
            <w:tcW w:type="dxa" w:w="1944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AC-LP-0402</w:t>
              <w:br/>
              <w:t>LP-0402</w:t>
            </w:r>
          </w:p>
        </w:tc>
        <w:tc>
          <w:tcPr>
            <w:tcW w:type="dxa" w:w="1944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Dawn Brown</w:t>
            </w:r>
          </w:p>
        </w:tc>
        <w:tc>
          <w:tcPr>
            <w:tcW w:type="dxa" w:w="1037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$384.80</w:t>
            </w:r>
          </w:p>
        </w:tc>
        <w:tc>
          <w:tcPr>
            <w:tcW w:type="dxa" w:w="936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$0.00</w:t>
            </w:r>
          </w:p>
        </w:tc>
        <w:tc>
          <w:tcPr>
            <w:tcW w:type="dxa" w:w="1080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$384.80</w:t>
            </w:r>
          </w:p>
        </w:tc>
        <w:tc>
          <w:tcPr>
            <w:tcW w:type="dxa" w:w="2880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HOLD - April line marked paid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AC-LP-0602</w:t>
              <w:br/>
              <w:t>LP-0602</w:t>
            </w:r>
          </w:p>
        </w:tc>
        <w:tc>
          <w:tcPr>
            <w:tcW w:type="dxa" w:w="1944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Lee Maldonado</w:t>
            </w:r>
          </w:p>
        </w:tc>
        <w:tc>
          <w:tcPr>
            <w:tcW w:type="dxa" w:w="1037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$603.20</w:t>
            </w:r>
          </w:p>
        </w:tc>
        <w:tc>
          <w:tcPr>
            <w:tcW w:type="dxa" w:w="936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$603.20</w:t>
            </w:r>
          </w:p>
        </w:tc>
        <w:tc>
          <w:tcPr>
            <w:tcW w:type="dxa" w:w="1080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$1,206.40</w:t>
            </w:r>
          </w:p>
        </w:tc>
        <w:tc>
          <w:tcPr>
            <w:tcW w:type="dxa" w:w="2880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HOLD - April line marked paid</w:t>
            </w:r>
          </w:p>
        </w:tc>
      </w:tr>
      <w:tr>
        <w:tc>
          <w:tcPr>
            <w:tcW w:type="dxa" w:w="1944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AC-LP-0605</w:t>
              <w:br/>
              <w:t>LP-0605</w:t>
            </w:r>
          </w:p>
        </w:tc>
        <w:tc>
          <w:tcPr>
            <w:tcW w:type="dxa" w:w="1944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Andrew Anderson</w:t>
            </w:r>
          </w:p>
        </w:tc>
        <w:tc>
          <w:tcPr>
            <w:tcW w:type="dxa" w:w="1037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$530.40</w:t>
            </w:r>
          </w:p>
        </w:tc>
        <w:tc>
          <w:tcPr>
            <w:tcW w:type="dxa" w:w="936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$0.00</w:t>
            </w:r>
          </w:p>
        </w:tc>
        <w:tc>
          <w:tcPr>
            <w:tcW w:type="dxa" w:w="1080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$530.40</w:t>
            </w:r>
          </w:p>
        </w:tc>
        <w:tc>
          <w:tcPr>
            <w:tcW w:type="dxa" w:w="2880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HOLD - April line marked paid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AC-LP-0713</w:t>
              <w:br/>
              <w:t>LP-0713</w:t>
            </w:r>
          </w:p>
        </w:tc>
        <w:tc>
          <w:tcPr>
            <w:tcW w:type="dxa" w:w="1944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Stacey Mitchell</w:t>
            </w:r>
          </w:p>
        </w:tc>
        <w:tc>
          <w:tcPr>
            <w:tcW w:type="dxa" w:w="1037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$416.00</w:t>
            </w:r>
          </w:p>
        </w:tc>
        <w:tc>
          <w:tcPr>
            <w:tcW w:type="dxa" w:w="936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$832.00</w:t>
            </w:r>
          </w:p>
        </w:tc>
        <w:tc>
          <w:tcPr>
            <w:tcW w:type="dxa" w:w="1080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$1,248.00</w:t>
            </w:r>
          </w:p>
        </w:tc>
        <w:tc>
          <w:tcPr>
            <w:tcW w:type="dxa" w:w="2880"/>
            <w:shd w:fill="FFFFFF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HOLD - April line marked paid</w:t>
            </w:r>
          </w:p>
        </w:tc>
      </w:tr>
      <w:tr>
        <w:tc>
          <w:tcPr>
            <w:tcW w:type="dxa" w:w="1944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AC-LP-0801</w:t>
              <w:br/>
              <w:t>LP-0801</w:t>
            </w:r>
          </w:p>
        </w:tc>
        <w:tc>
          <w:tcPr>
            <w:tcW w:type="dxa" w:w="1944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Allison Nguyen</w:t>
            </w:r>
          </w:p>
        </w:tc>
        <w:tc>
          <w:tcPr>
            <w:tcW w:type="dxa" w:w="1037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$488.80</w:t>
            </w:r>
          </w:p>
        </w:tc>
        <w:tc>
          <w:tcPr>
            <w:tcW w:type="dxa" w:w="936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$0.00</w:t>
            </w:r>
          </w:p>
        </w:tc>
        <w:tc>
          <w:tcPr>
            <w:tcW w:type="dxa" w:w="1080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$488.80</w:t>
            </w:r>
          </w:p>
        </w:tc>
        <w:tc>
          <w:tcPr>
            <w:tcW w:type="dxa" w:w="2880"/>
            <w:shd w:fill="F2F6F8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color w:val="24323E"/>
                <w:sz w:val="14"/>
              </w:rPr>
              <w:t>HOLD - April line marked paid</w:t>
            </w:r>
          </w:p>
        </w:tc>
      </w:tr>
    </w:tbl>
    <w:p>
      <w:pPr>
        <w:pStyle w:val="Heading1"/>
      </w:pPr>
      <w:r>
        <w:t>Billing and measurement reconciliation</w:t>
      </w:r>
    </w:p>
    <w:p>
      <w:pPr>
        <w:spacing w:after="60"/>
      </w:pPr>
      <w:r>
        <w:rPr>
          <w:rFonts w:ascii="Liberation Sans" w:hAnsi="Liberation Sans"/>
          <w:b w:val="0"/>
          <w:color w:val="24323E"/>
        </w:rPr>
        <w:t>tariff_resolution_2019-14.pdf s.1(4), read with resolution_2022-06.pdf ss.1.1-1.3, sets billable feet as greater of nominal slip length or rounded-up check-in LOA, at $10.40 covered and $7.55 open. Re-performance of all 1,086 OCCUPIED inventory rows yields the page 1 expected amount. Every one of 769 present August lines agrees; the variance is 317 missing lines, including all occupied Salmonberry slips. This is an extract-completeness exception, not proof tenants were not billed.</w:t>
      </w:r>
    </w:p>
    <w:p>
      <w:pPr>
        <w:spacing w:after="60"/>
      </w:pPr>
      <w:r>
        <w:rPr>
          <w:rFonts w:ascii="Liberation Sans" w:hAnsi="Liberation Sans"/>
          <w:b w:val="0"/>
          <w:color w:val="24323E"/>
        </w:rPr>
        <w:t>The two measurement PDFs do not establish current billing LOA. MC-2024-0062 is a historical check-in for WL-01893 at VB-0208, now occupied by another tenant; MC-2024-0091 names no slip and WL-02401 is absent from current inventory. Both measurer signature lines are empty. Inventory LOA is therefore a provisional calculation basis, marked in Billing Recon and Certificate Recon.</w:t>
      </w:r>
    </w:p>
    <w:p>
      <w:pPr>
        <w:pStyle w:val="Heading1"/>
      </w:pPr>
      <w:r>
        <w:t>Length amendments and data integrity</w:t>
      </w:r>
    </w:p>
    <w:p>
      <w:pPr>
        <w:spacing w:after="60"/>
      </w:pPr>
      <w:r>
        <w:rPr>
          <w:rFonts w:ascii="Liberation Sans" w:hAnsi="Liberation Sans"/>
          <w:b w:val="0"/>
          <w:color w:val="24323E"/>
        </w:rPr>
        <w:t>resolution_2022-06.pdf ss.4.3 and 6 requires contemporaneous support by a signed certificate or actual yard-prepared haul-out sheet. The amendment log contains references, but supplied files contain no signed certificate and no yard sheet. All 200 in-scope LOA changes through 7 August are unsubstantiated; 15 precede a downstream audited skip (P1), and 185 do not (P2). One later-dated LOA record is excluded; future rows are counted on Summary.</w:t>
      </w:r>
    </w:p>
    <w:p>
      <w:pPr>
        <w:pStyle w:val="Heading1"/>
      </w:pPr>
      <w:r>
        <w:t>Record authority and follow-up</w:t>
      </w:r>
    </w:p>
    <w:p>
      <w:pPr>
        <w:pStyle w:val="ListBullet"/>
        <w:spacing w:after="50"/>
        <w:ind w:left="259" w:hanging="187"/>
      </w:pPr>
      <w:r>
        <w:rPr>
          <w:rFonts w:ascii="Liberation Sans" w:hAnsi="Liberation Sans"/>
          <w:b w:val="0"/>
          <w:color w:val="24323E"/>
        </w:rPr>
        <w:t>The row-level CSVs govern re-performance over the 2026-01-30 foot-month report because that report claims transaction types and Salmonberry coverage absent from the export and refers to data after its own date.</w:t>
      </w:r>
    </w:p>
    <w:p>
      <w:pPr>
        <w:pStyle w:val="ListBullet"/>
        <w:spacing w:after="50"/>
        <w:ind w:left="259" w:hanging="187"/>
      </w:pPr>
      <w:r>
        <w:rPr>
          <w:rFonts w:ascii="Liberation Sans" w:hAnsi="Liberation Sans"/>
          <w:b w:val="0"/>
          <w:color w:val="24323E"/>
        </w:rPr>
        <w:t>The AR aging governs bucket identification because the request designates it; payment detail, not either summary file, is needed to authorize collection.</w:t>
      </w:r>
    </w:p>
    <w:p>
      <w:pPr>
        <w:pStyle w:val="ListBullet"/>
        <w:spacing w:after="50"/>
        <w:ind w:left="259" w:hanging="187"/>
      </w:pPr>
      <w:r>
        <w:rPr>
          <w:rFonts w:ascii="Liberation Sans" w:hAnsi="Liberation Sans"/>
          <w:b w:val="0"/>
          <w:color w:val="24323E"/>
        </w:rPr>
        <w:t>Required records: complete August billing-run control or ledger extract; AR payment-application detail as of 31 July; actual signed certificates or yard sheets; and a legal remedy schedule for unsupported skips.</w:t>
      </w:r>
    </w:p>
    <w:p>
      <w:pPr>
        <w:pStyle w:val="Heading2"/>
      </w:pPr>
      <w:r>
        <w:t>Workbook map</w:t>
      </w:r>
    </w:p>
    <w:p>
      <w:pPr>
        <w:spacing w:after="0"/>
      </w:pPr>
      <w:r>
        <w:rPr>
          <w:rFonts w:ascii="Liberation Sans" w:hAnsi="Liberation Sans"/>
          <w:b w:val="0"/>
          <w:color w:val="5D6B78"/>
          <w:sz w:val="16"/>
        </w:rPr>
        <w:t>Summary and Queue Exceptions state decisions; detailed tabs show record-level priority and variances; evidence and Inputs &amp; Rules state file inspection and authority; Raw tabs preserve lineage.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b w:val="0"/>
        <w:color w:val="5D6B78"/>
        <w:sz w:val="15"/>
      </w:rPr>
      <w:t>Confidential Board working paper | Chaldale Harbor District | 7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Liberation Sans" w:hAnsi="Liberation Sans"/>
      <w:color w:val="24323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47D8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Liberation Sans" w:hAnsi="Liberation Sans"/>
      <w:b/>
      <w:color w:val="1732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