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KVL CAMPS — EXECUTIVE COMPLIANCE MEMO</w:t>
      </w:r>
    </w:p>
    <w:p>
      <w:pPr>
        <w:jc w:val="center"/>
      </w:pPr>
      <w:r>
        <w:rPr>
          <w:b/>
          <w:sz w:val="26"/>
        </w:rPr>
        <w:t>Credential Authority Audit — Summer 2026 Season</w:t>
      </w:r>
    </w:p>
    <w:p>
      <w:r>
        <w:rPr>
          <w:b/>
          <w:sz w:val="20"/>
        </w:rPr>
        <w:t xml:space="preserve">TO:  </w:t>
      </w:r>
      <w:r>
        <w:rPr>
          <w:sz w:val="20"/>
        </w:rPr>
        <w:t>Board of Directors; Bureau of Youth Camp Licensing</w:t>
      </w:r>
    </w:p>
    <w:p>
      <w:r>
        <w:rPr>
          <w:b/>
          <w:sz w:val="20"/>
        </w:rPr>
        <w:t xml:space="preserve">FROM:  </w:t>
      </w:r>
      <w:r>
        <w:rPr>
          <w:sz w:val="20"/>
        </w:rPr>
        <w:t>Operations Director, KVL Camps</w:t>
      </w:r>
    </w:p>
    <w:p>
      <w:r>
        <w:rPr>
          <w:b/>
          <w:sz w:val="20"/>
        </w:rPr>
        <w:t xml:space="preserve">DATE:  </w:t>
      </w:r>
      <w:r>
        <w:rPr>
          <w:sz w:val="20"/>
        </w:rPr>
        <w:t>July 1, 2026</w:t>
      </w:r>
    </w:p>
    <w:p>
      <w:r>
        <w:rPr>
          <w:b/>
          <w:sz w:val="20"/>
        </w:rPr>
        <w:t xml:space="preserve">RE:  </w:t>
      </w:r>
      <w:r>
        <w:rPr>
          <w:sz w:val="20"/>
        </w:rPr>
        <w:t>Credential compliance audit — swim-ability assessment sign-offs across six camp locations</w:t>
      </w:r>
    </w:p>
    <w:p>
      <w:r>
        <w:rPr>
          <w:b/>
          <w:sz w:val="20"/>
        </w:rPr>
        <w:t xml:space="preserve">CLASSIFICATION:  </w:t>
      </w:r>
      <w:r>
        <w:rPr>
          <w:sz w:val="20"/>
        </w:rPr>
        <w:t>Confidential — Regulatory Response</w:t>
      </w:r>
    </w:p>
    <w:p/>
    <w:p>
      <w:pPr>
        <w:pStyle w:val="Heading1"/>
      </w:pPr>
      <w:r>
        <w:t>1. EXECUTIVE SUMMARY</w:t>
      </w:r>
    </w:p>
    <w:p>
      <w:r>
        <w:t>As of the reporting cutoff of July 1, 2026, this memo presents findings from a single-chain audit of credential authority across all six KVL Camps locations. The audit was triggered by a Bureau of Youth Camp Licensing finding (Case No. BYC-FND-2026-0147, dated June 15, 2026) concerning swim-ability assessment sign-off authority at the Corrigwell waterfront.</w:t>
      </w:r>
    </w:p>
    <w:p>
      <w:r>
        <w:rPr>
          <w:b/>
        </w:rPr>
        <w:t>Key findings:</w:t>
      </w:r>
    </w:p>
    <w:p>
      <w:pPr>
        <w:pStyle w:val="ListBullet"/>
      </w:pPr>
      <w:r>
        <w:t>Corrigwell has an active credential authority defect: swim-ability assessments have been signed since spring 2022 by a staff member whose AQS (Aquatics Supervisor Certificate) credential is current but NOT assessment-authorized under the credential-track authorization matrix.</w:t>
      </w:r>
    </w:p>
    <w:p>
      <w:pPr>
        <w:pStyle w:val="ListBullet"/>
      </w:pPr>
      <w:r>
        <w:t>Loon Hollow is cleared (assessment-authorized signer confirmed).</w:t>
      </w:r>
    </w:p>
    <w:p>
      <w:pPr>
        <w:pStyle w:val="ListBullet"/>
      </w:pPr>
      <w:r>
        <w:t>Tamarack Ridge, Bluegill Point, Heron Landing, and Otter Run are never-examined (budget constraints prevented full re-examination).</w:t>
      </w:r>
    </w:p>
    <w:p>
      <w:pPr>
        <w:pStyle w:val="ListBullet"/>
      </w:pPr>
      <w:r>
        <w:t>Corrigwell's operational record (water quality, 1:25 ratios, incidents) is clean and separate from the credential finding (per Scope Isolation Memo, WF2).</w:t>
      </w:r>
    </w:p>
    <w:p>
      <w:pPr>
        <w:pStyle w:val="ListBullet"/>
      </w:pPr>
      <w:r>
        <w:t>Re-assessment workload cannot be completed before the July 2 underwriting deadline but may be feasible before the July 15 licensing deadline if re-assessment of Session 1–2 campers proceeds immediately under CAP-2026-01.</w:t>
      </w:r>
    </w:p>
    <w:p>
      <w:pPr>
        <w:pStyle w:val="Heading1"/>
      </w:pPr>
      <w:r>
        <w:t>2. STEP 1 — SITE-AUDIT: SWIM TEST RECORDS &amp; SWEEP REPORTS</w:t>
      </w:r>
    </w:p>
    <w:p>
      <w:r>
        <w:rPr>
          <w:b/>
        </w:rPr>
        <w:t xml:space="preserve">Source: </w:t>
      </w:r>
      <w:r>
        <w:t>Six-Site Credential Sweep Report 2026.docx [Six-Site Credential Sweep Report 2026.docx]; Corrigwell Swim Classification Roster 2026.xlsx [Corrigwell Swim Classification Roster 2026.xlsx]</w:t>
      </w:r>
    </w:p>
    <w:p>
      <w:r>
        <w:t>The six-site credential sweep (WF4) compared each site's 2026 roster signature block against the authorization matrix's assessment-authorized credential tracks (WSI, LGI, LG-WF). Results below.</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Site</w:t>
            </w:r>
          </w:p>
        </w:tc>
        <w:tc>
          <w:tcPr>
            <w:tcW w:type="dxa" w:w="1728"/>
          </w:tcPr>
          <w:p>
            <w:r>
              <w:rPr>
                <w:b/>
                <w:sz w:val="18"/>
              </w:rPr>
              <w:t>Type</w:t>
            </w:r>
          </w:p>
        </w:tc>
        <w:tc>
          <w:tcPr>
            <w:tcW w:type="dxa" w:w="1728"/>
          </w:tcPr>
          <w:p>
            <w:r>
              <w:rPr>
                <w:b/>
                <w:sz w:val="18"/>
              </w:rPr>
              <w:t>Signer of Record (2026)</w:t>
            </w:r>
          </w:p>
        </w:tc>
        <w:tc>
          <w:tcPr>
            <w:tcW w:type="dxa" w:w="1728"/>
          </w:tcPr>
          <w:p>
            <w:r>
              <w:rPr>
                <w:b/>
                <w:sz w:val="18"/>
              </w:rPr>
              <w:t>Signer Credential</w:t>
            </w:r>
          </w:p>
        </w:tc>
        <w:tc>
          <w:tcPr>
            <w:tcW w:type="dxa" w:w="1728"/>
          </w:tcPr>
          <w:p>
            <w:r>
              <w:rPr>
                <w:b/>
                <w:sz w:val="18"/>
              </w:rPr>
              <w:t>Sweep Status</w:t>
            </w:r>
          </w:p>
        </w:tc>
      </w:tr>
      <w:tr>
        <w:tc>
          <w:tcPr>
            <w:tcW w:type="dxa" w:w="1728"/>
          </w:tcPr>
          <w:p>
            <w:r>
              <w:rPr>
                <w:sz w:val="18"/>
              </w:rPr>
              <w:t>Corrigwell</w:t>
            </w:r>
          </w:p>
        </w:tc>
        <w:tc>
          <w:tcPr>
            <w:tcW w:type="dxa" w:w="1728"/>
          </w:tcPr>
          <w:p>
            <w:r>
              <w:rPr>
                <w:sz w:val="18"/>
              </w:rPr>
              <w:t>Residential</w:t>
            </w:r>
          </w:p>
        </w:tc>
        <w:tc>
          <w:tcPr>
            <w:tcW w:type="dxa" w:w="1728"/>
          </w:tcPr>
          <w:p>
            <w:r>
              <w:rPr>
                <w:sz w:val="18"/>
              </w:rPr>
              <w:t>Martin T. Eberly, Aquatics Supervisor</w:t>
            </w:r>
          </w:p>
        </w:tc>
        <w:tc>
          <w:tcPr>
            <w:tcW w:type="dxa" w:w="1728"/>
          </w:tcPr>
          <w:p>
            <w:r>
              <w:rPr>
                <w:sz w:val="18"/>
              </w:rPr>
              <w:t>AQS (supervisor-track), current to 03/18/2028</w:t>
            </w:r>
          </w:p>
        </w:tc>
        <w:tc>
          <w:tcPr>
            <w:tcW w:type="dxa" w:w="1728"/>
          </w:tcPr>
          <w:p>
            <w:r>
              <w:rPr>
                <w:sz w:val="18"/>
              </w:rPr>
              <w:t>Unauthorized &amp; Examined</w:t>
            </w:r>
          </w:p>
        </w:tc>
      </w:tr>
      <w:tr>
        <w:tc>
          <w:tcPr>
            <w:tcW w:type="dxa" w:w="1728"/>
          </w:tcPr>
          <w:p>
            <w:r>
              <w:rPr>
                <w:sz w:val="18"/>
              </w:rPr>
              <w:t>Loon Hollow</w:t>
            </w:r>
          </w:p>
        </w:tc>
        <w:tc>
          <w:tcPr>
            <w:tcW w:type="dxa" w:w="1728"/>
          </w:tcPr>
          <w:p>
            <w:r>
              <w:rPr>
                <w:sz w:val="18"/>
              </w:rPr>
              <w:t>Day</w:t>
            </w:r>
          </w:p>
        </w:tc>
        <w:tc>
          <w:tcPr>
            <w:tcW w:type="dxa" w:w="1728"/>
          </w:tcPr>
          <w:p>
            <w:r>
              <w:rPr>
                <w:sz w:val="18"/>
              </w:rPr>
              <w:t>Dana Kessler, Waterfront Director</w:t>
            </w:r>
          </w:p>
        </w:tc>
        <w:tc>
          <w:tcPr>
            <w:tcW w:type="dxa" w:w="1728"/>
          </w:tcPr>
          <w:p>
            <w:r>
              <w:rPr>
                <w:sz w:val="18"/>
              </w:rPr>
              <w:t>WSI, current</w:t>
            </w:r>
          </w:p>
        </w:tc>
        <w:tc>
          <w:tcPr>
            <w:tcW w:type="dxa" w:w="1728"/>
          </w:tcPr>
          <w:p>
            <w:r>
              <w:rPr>
                <w:sz w:val="18"/>
              </w:rPr>
              <w:t>Cleared</w:t>
            </w:r>
          </w:p>
        </w:tc>
      </w:tr>
      <w:tr>
        <w:tc>
          <w:tcPr>
            <w:tcW w:type="dxa" w:w="1728"/>
          </w:tcPr>
          <w:p>
            <w:r>
              <w:rPr>
                <w:sz w:val="18"/>
              </w:rPr>
              <w:t>Tamarack Ridge</w:t>
            </w:r>
          </w:p>
        </w:tc>
        <w:tc>
          <w:tcPr>
            <w:tcW w:type="dxa" w:w="1728"/>
          </w:tcPr>
          <w:p>
            <w:r>
              <w:rPr>
                <w:sz w:val="18"/>
              </w:rPr>
              <w:t>Residential</w:t>
            </w:r>
          </w:p>
        </w:tc>
        <w:tc>
          <w:tcPr>
            <w:tcW w:type="dxa" w:w="1728"/>
          </w:tcPr>
          <w:p>
            <w:r>
              <w:rPr>
                <w:sz w:val="18"/>
              </w:rPr>
              <w:t>Rob Tiernan, Waterfront Director</w:t>
            </w:r>
          </w:p>
        </w:tc>
        <w:tc>
          <w:tcPr>
            <w:tcW w:type="dxa" w:w="1728"/>
          </w:tcPr>
          <w:p>
            <w:r>
              <w:rPr>
                <w:sz w:val="18"/>
              </w:rPr>
              <w:t>WSI (per staffing file)</w:t>
            </w:r>
          </w:p>
        </w:tc>
        <w:tc>
          <w:tcPr>
            <w:tcW w:type="dxa" w:w="1728"/>
          </w:tcPr>
          <w:p>
            <w:r>
              <w:rPr>
                <w:sz w:val="18"/>
              </w:rPr>
              <w:t>Never-Examined</w:t>
            </w:r>
          </w:p>
        </w:tc>
      </w:tr>
      <w:tr>
        <w:tc>
          <w:tcPr>
            <w:tcW w:type="dxa" w:w="1728"/>
          </w:tcPr>
          <w:p>
            <w:r>
              <w:rPr>
                <w:sz w:val="18"/>
              </w:rPr>
              <w:t>Bluegill Point</w:t>
            </w:r>
          </w:p>
        </w:tc>
        <w:tc>
          <w:tcPr>
            <w:tcW w:type="dxa" w:w="1728"/>
          </w:tcPr>
          <w:p>
            <w:r>
              <w:rPr>
                <w:sz w:val="18"/>
              </w:rPr>
              <w:t>Day</w:t>
            </w:r>
          </w:p>
        </w:tc>
        <w:tc>
          <w:tcPr>
            <w:tcW w:type="dxa" w:w="1728"/>
          </w:tcPr>
          <w:p>
            <w:r>
              <w:rPr>
                <w:sz w:val="18"/>
              </w:rPr>
              <w:t>Alicia Mora, Waterfront Director</w:t>
            </w:r>
          </w:p>
        </w:tc>
        <w:tc>
          <w:tcPr>
            <w:tcW w:type="dxa" w:w="1728"/>
          </w:tcPr>
          <w:p>
            <w:r>
              <w:rPr>
                <w:sz w:val="18"/>
              </w:rPr>
              <w:t>LG-WF/WSI (per staffing file)</w:t>
            </w:r>
          </w:p>
        </w:tc>
        <w:tc>
          <w:tcPr>
            <w:tcW w:type="dxa" w:w="1728"/>
          </w:tcPr>
          <w:p>
            <w:r>
              <w:rPr>
                <w:sz w:val="18"/>
              </w:rPr>
              <w:t>Never-Examined</w:t>
            </w:r>
          </w:p>
        </w:tc>
      </w:tr>
      <w:tr>
        <w:tc>
          <w:tcPr>
            <w:tcW w:type="dxa" w:w="1728"/>
          </w:tcPr>
          <w:p>
            <w:r>
              <w:rPr>
                <w:sz w:val="18"/>
              </w:rPr>
              <w:t>Heron Landing</w:t>
            </w:r>
          </w:p>
        </w:tc>
        <w:tc>
          <w:tcPr>
            <w:tcW w:type="dxa" w:w="1728"/>
          </w:tcPr>
          <w:p>
            <w:r>
              <w:rPr>
                <w:sz w:val="18"/>
              </w:rPr>
              <w:t>Residential</w:t>
            </w:r>
          </w:p>
        </w:tc>
        <w:tc>
          <w:tcPr>
            <w:tcW w:type="dxa" w:w="1728"/>
          </w:tcPr>
          <w:p>
            <w:r>
              <w:rPr>
                <w:sz w:val="18"/>
              </w:rPr>
              <w:t>Sam Treadwell, Waterfront Director</w:t>
            </w:r>
          </w:p>
        </w:tc>
        <w:tc>
          <w:tcPr>
            <w:tcW w:type="dxa" w:w="1728"/>
          </w:tcPr>
          <w:p>
            <w:r>
              <w:rPr>
                <w:sz w:val="18"/>
              </w:rPr>
              <w:t>LGI (per staffing file)</w:t>
            </w:r>
          </w:p>
        </w:tc>
        <w:tc>
          <w:tcPr>
            <w:tcW w:type="dxa" w:w="1728"/>
          </w:tcPr>
          <w:p>
            <w:r>
              <w:rPr>
                <w:sz w:val="18"/>
              </w:rPr>
              <w:t>Never-Examined</w:t>
            </w:r>
          </w:p>
        </w:tc>
      </w:tr>
      <w:tr>
        <w:tc>
          <w:tcPr>
            <w:tcW w:type="dxa" w:w="1728"/>
          </w:tcPr>
          <w:p>
            <w:r>
              <w:rPr>
                <w:sz w:val="18"/>
              </w:rPr>
              <w:t>Otter Run</w:t>
            </w:r>
          </w:p>
        </w:tc>
        <w:tc>
          <w:tcPr>
            <w:tcW w:type="dxa" w:w="1728"/>
          </w:tcPr>
          <w:p>
            <w:r>
              <w:rPr>
                <w:sz w:val="18"/>
              </w:rPr>
              <w:t>Day</w:t>
            </w:r>
          </w:p>
        </w:tc>
        <w:tc>
          <w:tcPr>
            <w:tcW w:type="dxa" w:w="1728"/>
          </w:tcPr>
          <w:p>
            <w:r>
              <w:rPr>
                <w:sz w:val="18"/>
              </w:rPr>
              <w:t>Kim Ostrander, Waterfront Director</w:t>
            </w:r>
          </w:p>
        </w:tc>
        <w:tc>
          <w:tcPr>
            <w:tcW w:type="dxa" w:w="1728"/>
          </w:tcPr>
          <w:p>
            <w:r>
              <w:rPr>
                <w:sz w:val="18"/>
              </w:rPr>
              <w:t>WSI (per staffing file)</w:t>
            </w:r>
          </w:p>
        </w:tc>
        <w:tc>
          <w:tcPr>
            <w:tcW w:type="dxa" w:w="1728"/>
          </w:tcPr>
          <w:p>
            <w:r>
              <w:rPr>
                <w:sz w:val="18"/>
              </w:rPr>
              <w:t>Never-Examined</w:t>
            </w:r>
          </w:p>
        </w:tc>
      </w:tr>
    </w:tbl>
    <w:p>
      <w:r>
        <w:rPr>
          <w:i/>
        </w:rPr>
        <w:t xml:space="preserve">Citation: </w:t>
      </w:r>
      <w:r>
        <w:rPr>
          <w:i/>
        </w:rPr>
        <w:t>Six-Site Credential Sweep Report 2026.docx → Site-by-site results table; Corrigwell Swim Classification Roster 2026.xlsx → signature block</w:t>
      </w:r>
    </w:p>
    <w:p>
      <w:r>
        <w:rPr>
          <w:b/>
        </w:rPr>
        <w:t xml:space="preserve">Unverified sign-off scope: </w:t>
      </w:r>
      <w:r>
        <w:t>1 site (Corrigwell) has confirmed unauthorized sign-offs since spring 2022. 4 sites remain never-examined and cannot be classified as compliant or non-compliant. 1 site (Loon Hollow) is cleared.</w:t>
      </w:r>
    </w:p>
    <w:p>
      <w:pPr>
        <w:pStyle w:val="Heading1"/>
      </w:pPr>
      <w:r>
        <w:t>3. STEP 2 — OPERATIONAL CROSS-REFERENCE AT AFFECTED SITE</w:t>
      </w:r>
    </w:p>
    <w:p>
      <w:r>
        <w:rPr>
          <w:b/>
        </w:rPr>
        <w:t>AFFECTED SITE: Corrigwell (the only examined site with active findings).</w:t>
      </w:r>
    </w:p>
    <w:p>
      <w:r>
        <w:rPr>
          <w:b/>
        </w:rPr>
        <w:t xml:space="preserve">Source: </w:t>
      </w:r>
      <w:r>
        <w:t>Corrigwell Water Quality Log 2026.xlsx [Corrigwell Water Quality Log 2026.xlsx]; Corrigwell Ratio Schedule 2026.xlsx [Corrigwell Ratio Schedule 2026.xlsx]; Corrigwell Incident and First Aid Log 2026.xlsx [Corrigwell Incident and First Aid Log 2026.xlsx]; Scope Isolation Memo 2026.docx [Scope Isolation Memo 2026.docx]</w:t>
      </w:r>
    </w:p>
    <w:p>
      <w:r>
        <w:t>Per the Scope Isolation Memo (WF2), a line-by-line review of the Corrigwell operational record for 2022–2026 confirmed that no credential content exists on any operational record:</w:t>
      </w:r>
    </w:p>
    <w:p>
      <w:pPr>
        <w:pStyle w:val="ListBullet"/>
      </w:pPr>
      <w:r>
        <w:t>Water-quality logs (2025 and 2026 seasons): No credential fields exist anywhere on these logs. Daily free chlorine, pH, combined chlorine, cyanuric acid, alkalinity, and temperature readings were maintained within CDC Model Aquatic Health Code norms with corrective entries where a reading drifted.</w:t>
      </w:r>
    </w:p>
    <w:p>
      <w:pPr>
        <w:pStyle w:val="ListBullet"/>
      </w:pPr>
      <w:r>
        <w:t>Ratio schedules (2025 and 2026): No certification or authorization data is recorded. Guard names appear as duty assignments only. The 1:25 ratio was met or exceeded at every rotation check.</w:t>
      </w:r>
    </w:p>
    <w:p>
      <w:pPr>
        <w:pStyle w:val="ListBullet"/>
      </w:pPr>
      <w:r>
        <w:t>Incident and first-aid logs (2025 and 2026): No credential fields exist. Records contain incident type, response, equipment used, and notification fields only. No serious incidents recorded.</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Operational Domain</w:t>
            </w:r>
          </w:p>
        </w:tc>
        <w:tc>
          <w:tcPr>
            <w:tcW w:type="dxa" w:w="2880"/>
          </w:tcPr>
          <w:p>
            <w:r>
              <w:rPr>
                <w:b/>
                <w:sz w:val="18"/>
              </w:rPr>
              <w:t>Status</w:t>
            </w:r>
          </w:p>
        </w:tc>
        <w:tc>
          <w:tcPr>
            <w:tcW w:type="dxa" w:w="2880"/>
          </w:tcPr>
          <w:p>
            <w:r>
              <w:rPr>
                <w:b/>
                <w:sz w:val="18"/>
              </w:rPr>
              <w:t>Findings</w:t>
            </w:r>
          </w:p>
        </w:tc>
      </w:tr>
      <w:tr>
        <w:tc>
          <w:tcPr>
            <w:tcW w:type="dxa" w:w="2880"/>
          </w:tcPr>
          <w:p>
            <w:r>
              <w:rPr>
                <w:sz w:val="18"/>
              </w:rPr>
              <w:t>Water Quality</w:t>
            </w:r>
          </w:p>
        </w:tc>
        <w:tc>
          <w:tcPr>
            <w:tcW w:type="dxa" w:w="2880"/>
          </w:tcPr>
          <w:p>
            <w:r>
              <w:rPr>
                <w:sz w:val="18"/>
              </w:rPr>
              <w:t>COMPLIANT</w:t>
            </w:r>
          </w:p>
        </w:tc>
        <w:tc>
          <w:tcPr>
            <w:tcW w:type="dxa" w:w="2880"/>
          </w:tcPr>
          <w:p>
            <w:r>
              <w:rPr>
                <w:sz w:val="18"/>
              </w:rPr>
              <w:t>All readings within CDC MAHC norms; corrective entries logged appropriately</w:t>
            </w:r>
          </w:p>
        </w:tc>
      </w:tr>
      <w:tr>
        <w:tc>
          <w:tcPr>
            <w:tcW w:type="dxa" w:w="2880"/>
          </w:tcPr>
          <w:p>
            <w:r>
              <w:rPr>
                <w:sz w:val="18"/>
              </w:rPr>
              <w:t>1:25 Supervision Ratio</w:t>
            </w:r>
          </w:p>
        </w:tc>
        <w:tc>
          <w:tcPr>
            <w:tcW w:type="dxa" w:w="2880"/>
          </w:tcPr>
          <w:p>
            <w:r>
              <w:rPr>
                <w:sz w:val="18"/>
              </w:rPr>
              <w:t>COMPLIANT</w:t>
            </w:r>
          </w:p>
        </w:tc>
        <w:tc>
          <w:tcPr>
            <w:tcW w:type="dxa" w:w="2880"/>
          </w:tcPr>
          <w:p>
            <w:r>
              <w:rPr>
                <w:sz w:val="18"/>
              </w:rPr>
              <w:t>Ratio met or exceeded at every rotation check; supervisor initials recorded</w:t>
            </w:r>
          </w:p>
        </w:tc>
      </w:tr>
      <w:tr>
        <w:tc>
          <w:tcPr>
            <w:tcW w:type="dxa" w:w="2880"/>
          </w:tcPr>
          <w:p>
            <w:r>
              <w:rPr>
                <w:sz w:val="18"/>
              </w:rPr>
              <w:t>Incident &amp; First-Aid</w:t>
            </w:r>
          </w:p>
        </w:tc>
        <w:tc>
          <w:tcPr>
            <w:tcW w:type="dxa" w:w="2880"/>
          </w:tcPr>
          <w:p>
            <w:r>
              <w:rPr>
                <w:sz w:val="18"/>
              </w:rPr>
              <w:t>COMPLIANT</w:t>
            </w:r>
          </w:p>
        </w:tc>
        <w:tc>
          <w:tcPr>
            <w:tcW w:type="dxa" w:w="2880"/>
          </w:tcPr>
          <w:p>
            <w:r>
              <w:rPr>
                <w:sz w:val="18"/>
              </w:rPr>
              <w:t>No serious incidents; notification chain followed appropriately</w:t>
            </w:r>
          </w:p>
        </w:tc>
      </w:tr>
    </w:tbl>
    <w:p>
      <w:r>
        <w:rPr>
          <w:i/>
        </w:rPr>
        <w:t xml:space="preserve">Citation: </w:t>
      </w:r>
      <w:r>
        <w:rPr>
          <w:i/>
        </w:rPr>
        <w:t>Scope Isolation Memo 2026.docx → Records reviewed section; Corrigwell Ratio Schedule 2026.xlsx; Corrigwell Incident and First Aid Log 2026.xlsx</w:t>
      </w:r>
    </w:p>
    <w:p>
      <w:r>
        <w:rPr>
          <w:b/>
        </w:rPr>
        <w:t xml:space="preserve">Note on water quality, ratio, and incident files: </w:t>
      </w:r>
      <w:r>
        <w:t>The Corrigwell-specific 2026 operational log files listed in the task fileset were reviewed for this memo. Per the Scope Isolation Memo (WF2), these logs confirm operational compliance for 2025–2026 and contain no credential content. Regional files (NYC/Chicago) are out of scope and excluded from this analysis.</w:t>
      </w:r>
    </w:p>
    <w:p>
      <w:pPr>
        <w:pStyle w:val="Heading1"/>
      </w:pPr>
      <w:r>
        <w:t>4. STEP 3 — RE-ASSESSMENT WORKLOAD CALCULATION</w:t>
      </w:r>
    </w:p>
    <w:p>
      <w:r>
        <w:rPr>
          <w:b/>
        </w:rPr>
        <w:t xml:space="preserve">Scope: </w:t>
      </w:r>
      <w:r>
        <w:t>Only qualified sites from Step 2 (Corrigwell, as the only site with active re-assessment need; Loon Hollow is cleared; never-examined sites cannot be assessed until examined).</w:t>
      </w:r>
    </w:p>
    <w:p>
      <w:r>
        <w:rPr>
          <w:b/>
        </w:rPr>
        <w:t xml:space="preserve">Source: </w:t>
      </w:r>
      <w:r>
        <w:t>Corrigwell Swim Classification Roster 2026.xlsx [Band Counts by Session 2026.csv]; Beginner Test Retest Log 2026.csv [Beginner Test Retest Log 2026.csv]; Credential Expiry Tracker 2026.xlsx [Corrigwell Credential Expiry Tracker 2026.xlsx]; Credential-Track Authorization Matrix.xlsx [Credential-Track Authorization Matrix.xlsx]; Swim Classification and Authorization Standard.docx [Swim Classification and Authorization Standard.docx]</w:t>
      </w:r>
    </w:p>
    <w:p>
      <w:r>
        <w:rPr>
          <w:b/>
        </w:rPr>
        <w:t>Table 3 — Active Campers Requiring Re-Testing (Corrigwell 2026)</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Band</w:t>
            </w:r>
          </w:p>
        </w:tc>
        <w:tc>
          <w:tcPr>
            <w:tcW w:type="dxa" w:w="1728"/>
          </w:tcPr>
          <w:p>
            <w:r>
              <w:rPr>
                <w:b/>
                <w:sz w:val="18"/>
              </w:rPr>
              <w:t>Session 1</w:t>
            </w:r>
          </w:p>
        </w:tc>
        <w:tc>
          <w:tcPr>
            <w:tcW w:type="dxa" w:w="1728"/>
          </w:tcPr>
          <w:p>
            <w:r>
              <w:rPr>
                <w:b/>
                <w:sz w:val="18"/>
              </w:rPr>
              <w:t>Session 2</w:t>
            </w:r>
          </w:p>
        </w:tc>
        <w:tc>
          <w:tcPr>
            <w:tcW w:type="dxa" w:w="1728"/>
          </w:tcPr>
          <w:p>
            <w:r>
              <w:rPr>
                <w:b/>
                <w:sz w:val="18"/>
              </w:rPr>
              <w:t>Session 3</w:t>
            </w:r>
          </w:p>
        </w:tc>
        <w:tc>
          <w:tcPr>
            <w:tcW w:type="dxa" w:w="1728"/>
          </w:tcPr>
          <w:p>
            <w:r>
              <w:rPr>
                <w:b/>
                <w:sz w:val="18"/>
              </w:rPr>
              <w:t>Total</w:t>
            </w:r>
          </w:p>
        </w:tc>
      </w:tr>
      <w:tr>
        <w:tc>
          <w:tcPr>
            <w:tcW w:type="dxa" w:w="1728"/>
          </w:tcPr>
          <w:p>
            <w:r>
              <w:rPr>
                <w:sz w:val="18"/>
              </w:rPr>
              <w:t>Nonswimmer</w:t>
            </w:r>
          </w:p>
        </w:tc>
        <w:tc>
          <w:tcPr>
            <w:tcW w:type="dxa" w:w="1728"/>
          </w:tcPr>
          <w:p>
            <w:r>
              <w:rPr>
                <w:sz w:val="18"/>
              </w:rPr>
              <w:t>61</w:t>
            </w:r>
          </w:p>
        </w:tc>
        <w:tc>
          <w:tcPr>
            <w:tcW w:type="dxa" w:w="1728"/>
          </w:tcPr>
          <w:p>
            <w:r>
              <w:rPr>
                <w:sz w:val="18"/>
              </w:rPr>
              <w:t>67</w:t>
            </w:r>
          </w:p>
        </w:tc>
        <w:tc>
          <w:tcPr>
            <w:tcW w:type="dxa" w:w="1728"/>
          </w:tcPr>
          <w:p>
            <w:r>
              <w:rPr>
                <w:sz w:val="18"/>
              </w:rPr>
              <w:t>64</w:t>
            </w:r>
          </w:p>
        </w:tc>
        <w:tc>
          <w:tcPr>
            <w:tcW w:type="dxa" w:w="1728"/>
          </w:tcPr>
          <w:p>
            <w:r>
              <w:rPr>
                <w:sz w:val="18"/>
              </w:rPr>
              <w:t>192</w:t>
            </w:r>
          </w:p>
        </w:tc>
      </w:tr>
      <w:tr>
        <w:tc>
          <w:tcPr>
            <w:tcW w:type="dxa" w:w="1728"/>
          </w:tcPr>
          <w:p>
            <w:r>
              <w:rPr>
                <w:sz w:val="18"/>
              </w:rPr>
              <w:t>Beginner</w:t>
            </w:r>
          </w:p>
        </w:tc>
        <w:tc>
          <w:tcPr>
            <w:tcW w:type="dxa" w:w="1728"/>
          </w:tcPr>
          <w:p>
            <w:r>
              <w:rPr>
                <w:sz w:val="18"/>
              </w:rPr>
              <w:t>104</w:t>
            </w:r>
          </w:p>
        </w:tc>
        <w:tc>
          <w:tcPr>
            <w:tcW w:type="dxa" w:w="1728"/>
          </w:tcPr>
          <w:p>
            <w:r>
              <w:rPr>
                <w:sz w:val="18"/>
              </w:rPr>
              <w:t>93</w:t>
            </w:r>
          </w:p>
        </w:tc>
        <w:tc>
          <w:tcPr>
            <w:tcW w:type="dxa" w:w="1728"/>
          </w:tcPr>
          <w:p>
            <w:r>
              <w:rPr>
                <w:sz w:val="18"/>
              </w:rPr>
              <w:t>100</w:t>
            </w:r>
          </w:p>
        </w:tc>
        <w:tc>
          <w:tcPr>
            <w:tcW w:type="dxa" w:w="1728"/>
          </w:tcPr>
          <w:p>
            <w:r>
              <w:rPr>
                <w:sz w:val="18"/>
              </w:rPr>
              <w:t>297</w:t>
            </w:r>
          </w:p>
        </w:tc>
      </w:tr>
      <w:tr>
        <w:tc>
          <w:tcPr>
            <w:tcW w:type="dxa" w:w="1728"/>
          </w:tcPr>
          <w:p>
            <w:r>
              <w:rPr>
                <w:sz w:val="18"/>
              </w:rPr>
              <w:t>Swimmer</w:t>
            </w:r>
          </w:p>
        </w:tc>
        <w:tc>
          <w:tcPr>
            <w:tcW w:type="dxa" w:w="1728"/>
          </w:tcPr>
          <w:p>
            <w:r>
              <w:rPr>
                <w:sz w:val="18"/>
              </w:rPr>
              <w:t>107</w:t>
            </w:r>
          </w:p>
        </w:tc>
        <w:tc>
          <w:tcPr>
            <w:tcW w:type="dxa" w:w="1728"/>
          </w:tcPr>
          <w:p>
            <w:r>
              <w:rPr>
                <w:sz w:val="18"/>
              </w:rPr>
              <w:t>106</w:t>
            </w:r>
          </w:p>
        </w:tc>
        <w:tc>
          <w:tcPr>
            <w:tcW w:type="dxa" w:w="1728"/>
          </w:tcPr>
          <w:p>
            <w:r>
              <w:rPr>
                <w:sz w:val="18"/>
              </w:rPr>
              <w:t>112</w:t>
            </w:r>
          </w:p>
        </w:tc>
        <w:tc>
          <w:tcPr>
            <w:tcW w:type="dxa" w:w="1728"/>
          </w:tcPr>
          <w:p>
            <w:r>
              <w:rPr>
                <w:sz w:val="18"/>
              </w:rPr>
              <w:t>325</w:t>
            </w:r>
          </w:p>
        </w:tc>
      </w:tr>
      <w:tr>
        <w:tc>
          <w:tcPr>
            <w:tcW w:type="dxa" w:w="1728"/>
          </w:tcPr>
          <w:p>
            <w:r>
              <w:rPr>
                <w:b/>
                <w:sz w:val="18"/>
              </w:rPr>
              <w:t>Grand Total</w:t>
            </w:r>
          </w:p>
        </w:tc>
        <w:tc>
          <w:tcPr>
            <w:tcW w:type="dxa" w:w="1728"/>
          </w:tcPr>
          <w:p>
            <w:r>
              <w:rPr>
                <w:b/>
                <w:sz w:val="18"/>
              </w:rPr>
              <w:t>272</w:t>
            </w:r>
          </w:p>
        </w:tc>
        <w:tc>
          <w:tcPr>
            <w:tcW w:type="dxa" w:w="1728"/>
          </w:tcPr>
          <w:p>
            <w:r>
              <w:rPr>
                <w:b/>
                <w:sz w:val="18"/>
              </w:rPr>
              <w:t>266</w:t>
            </w:r>
          </w:p>
        </w:tc>
        <w:tc>
          <w:tcPr>
            <w:tcW w:type="dxa" w:w="1728"/>
          </w:tcPr>
          <w:p>
            <w:r>
              <w:rPr>
                <w:b/>
                <w:sz w:val="18"/>
              </w:rPr>
              <w:t>276</w:t>
            </w:r>
          </w:p>
        </w:tc>
        <w:tc>
          <w:tcPr>
            <w:tcW w:type="dxa" w:w="1728"/>
          </w:tcPr>
          <w:p>
            <w:r>
              <w:rPr>
                <w:b/>
                <w:sz w:val="18"/>
              </w:rPr>
              <w:t>814</w:t>
            </w:r>
          </w:p>
        </w:tc>
      </w:tr>
    </w:tbl>
    <w:p>
      <w:r>
        <w:rPr>
          <w:b/>
        </w:rPr>
        <w:t xml:space="preserve">Campers requiring re-testing (Nonswimmer + Beginner): </w:t>
      </w:r>
      <w:r>
        <w:t>489 of 814 campers (60.1%) across all three sessions.</w:t>
      </w:r>
    </w:p>
    <w:p>
      <w:r>
        <w:rPr>
          <w:i/>
        </w:rPr>
        <w:t xml:space="preserve">Citation: </w:t>
      </w:r>
      <w:r>
        <w:rPr>
          <w:i/>
        </w:rPr>
        <w:t>Band Counts by Session 2026.csv (Corrigwell Swim Classification Roster 2026.xlsx)</w:t>
      </w:r>
    </w:p>
    <w:p>
      <w:r>
        <w:rPr>
          <w:b/>
        </w:rPr>
        <w:t>Table 4 — Carryover Wristbands Blocking 2027 Enrollment (Corrigwell)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Band</w:t>
            </w:r>
          </w:p>
        </w:tc>
        <w:tc>
          <w:tcPr>
            <w:tcW w:type="dxa" w:w="2880"/>
          </w:tcPr>
          <w:p>
            <w:r>
              <w:rPr>
                <w:b/>
                <w:sz w:val="18"/>
              </w:rPr>
              <w:t>2026 Count</w:t>
            </w:r>
          </w:p>
        </w:tc>
        <w:tc>
          <w:tcPr>
            <w:tcW w:type="dxa" w:w="2880"/>
          </w:tcPr>
          <w:p>
            <w:r>
              <w:rPr>
                <w:b/>
                <w:sz w:val="18"/>
              </w:rPr>
              <w:t>2027 Impact</w:t>
            </w:r>
          </w:p>
        </w:tc>
      </w:tr>
      <w:tr>
        <w:tc>
          <w:tcPr>
            <w:tcW w:type="dxa" w:w="2880"/>
          </w:tcPr>
          <w:p>
            <w:r>
              <w:rPr>
                <w:sz w:val="18"/>
              </w:rPr>
              <w:t>Nonswimmer (Red)</w:t>
            </w:r>
          </w:p>
        </w:tc>
        <w:tc>
          <w:tcPr>
            <w:tcW w:type="dxa" w:w="2880"/>
          </w:tcPr>
          <w:p>
            <w:r>
              <w:rPr>
                <w:sz w:val="18"/>
              </w:rPr>
              <w:t>192</w:t>
            </w:r>
          </w:p>
        </w:tc>
        <w:tc>
          <w:tcPr>
            <w:tcW w:type="dxa" w:w="2880"/>
          </w:tcPr>
          <w:p>
            <w:r>
              <w:rPr>
                <w:sz w:val="18"/>
              </w:rPr>
              <w:t>Cannot enter beginner area; must retest or remain in nonswimmer area for 2027</w:t>
            </w:r>
          </w:p>
        </w:tc>
      </w:tr>
      <w:tr>
        <w:tc>
          <w:tcPr>
            <w:tcW w:type="dxa" w:w="2880"/>
          </w:tcPr>
          <w:p>
            <w:r>
              <w:rPr>
                <w:sz w:val="18"/>
              </w:rPr>
              <w:t>Beginner (Yellow)</w:t>
            </w:r>
          </w:p>
        </w:tc>
        <w:tc>
          <w:tcPr>
            <w:tcW w:type="dxa" w:w="2880"/>
          </w:tcPr>
          <w:p>
            <w:r>
              <w:rPr>
                <w:sz w:val="18"/>
              </w:rPr>
              <w:t>297</w:t>
            </w:r>
          </w:p>
        </w:tc>
        <w:tc>
          <w:tcPr>
            <w:tcW w:type="dxa" w:w="2880"/>
          </w:tcPr>
          <w:p>
            <w:r>
              <w:rPr>
                <w:sz w:val="18"/>
              </w:rPr>
              <w:t>Cannot enter swimmer area; must upgrade to swimmer or remain beginner for 2027</w:t>
            </w:r>
          </w:p>
        </w:tc>
      </w:tr>
    </w:tbl>
    <w:p>
      <w:r>
        <w:rPr>
          <w:b/>
        </w:rPr>
        <w:t xml:space="preserve">Total carryover wristbands blocking 2027 advancement: </w:t>
      </w:r>
      <w:r>
        <w:t>489 campers. Each camper's current band rests on a 2022–2026 sign-off by an unauthorized assessor (per WF3 camper-days/tenure-exposure recompute, exposure is weighted by consecutive summers classified under the unauthorized sign-off).</w:t>
      </w:r>
    </w:p>
    <w:p>
      <w:r>
        <w:rPr>
          <w:i/>
        </w:rPr>
        <w:t xml:space="preserve">Citation: </w:t>
      </w:r>
      <w:r>
        <w:rPr>
          <w:i/>
        </w:rPr>
        <w:t>Band Counts by Session 2026.csv; Swim Classification and Authorization Standard.docx → band definitions; Corrective Action Plan 2026.docx → affected seasons (2022–2026 plus early 2026)</w:t>
      </w:r>
    </w:p>
    <w:p>
      <w:r>
        <w:rPr>
          <w:b/>
        </w:rPr>
        <w:t>Table 5 — Available Staff Holding Valid Assessment Credentials (Corrigwell)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Credential Track</w:t>
            </w:r>
          </w:p>
        </w:tc>
        <w:tc>
          <w:tcPr>
            <w:tcW w:type="dxa" w:w="2880"/>
          </w:tcPr>
          <w:p>
            <w:r>
              <w:rPr>
                <w:b/>
                <w:sz w:val="18"/>
              </w:rPr>
              <w:t>Authorized For Assessment</w:t>
            </w:r>
          </w:p>
        </w:tc>
        <w:tc>
          <w:tcPr>
            <w:tcW w:type="dxa" w:w="2880"/>
          </w:tcPr>
          <w:p>
            <w:r>
              <w:rPr>
                <w:b/>
                <w:sz w:val="18"/>
              </w:rPr>
              <w:t>Current Holders at Corrigwell</w:t>
            </w:r>
          </w:p>
        </w:tc>
      </w:tr>
      <w:tr>
        <w:tc>
          <w:tcPr>
            <w:tcW w:type="dxa" w:w="2880"/>
          </w:tcPr>
          <w:p>
            <w:r>
              <w:rPr>
                <w:sz w:val="18"/>
              </w:rPr>
              <w:t>WSI (Water Safety Instructor)</w:t>
            </w:r>
          </w:p>
        </w:tc>
        <w:tc>
          <w:tcPr>
            <w:tcW w:type="dxa" w:w="2880"/>
          </w:tcPr>
          <w:p>
            <w:r>
              <w:rPr>
                <w:sz w:val="18"/>
              </w:rPr>
              <w:t>Yes</w:t>
            </w:r>
          </w:p>
        </w:tc>
        <w:tc>
          <w:tcPr>
            <w:tcW w:type="dxa" w:w="2880"/>
          </w:tcPr>
          <w:p>
            <w:r>
              <w:rPr>
                <w:sz w:val="18"/>
              </w:rPr>
              <w:t>14 credential records (multiple staff members)</w:t>
            </w:r>
          </w:p>
        </w:tc>
      </w:tr>
      <w:tr>
        <w:tc>
          <w:tcPr>
            <w:tcW w:type="dxa" w:w="2880"/>
          </w:tcPr>
          <w:p>
            <w:r>
              <w:rPr>
                <w:sz w:val="18"/>
              </w:rPr>
              <w:t>LGI (Lifeguarding Instructor)</w:t>
            </w:r>
          </w:p>
        </w:tc>
        <w:tc>
          <w:tcPr>
            <w:tcW w:type="dxa" w:w="2880"/>
          </w:tcPr>
          <w:p>
            <w:r>
              <w:rPr>
                <w:sz w:val="18"/>
              </w:rPr>
              <w:t>Yes</w:t>
            </w:r>
          </w:p>
        </w:tc>
        <w:tc>
          <w:tcPr>
            <w:tcW w:type="dxa" w:w="2880"/>
          </w:tcPr>
          <w:p>
            <w:r>
              <w:rPr>
                <w:sz w:val="18"/>
              </w:rPr>
              <w:t>2 credential records (multiple staff members)</w:t>
            </w:r>
          </w:p>
        </w:tc>
      </w:tr>
      <w:tr>
        <w:tc>
          <w:tcPr>
            <w:tcW w:type="dxa" w:w="2880"/>
          </w:tcPr>
          <w:p>
            <w:r>
              <w:rPr>
                <w:sz w:val="18"/>
              </w:rPr>
              <w:t>LG-WF (Waterfront Skills Lifeguarding)</w:t>
            </w:r>
          </w:p>
        </w:tc>
        <w:tc>
          <w:tcPr>
            <w:tcW w:type="dxa" w:w="2880"/>
          </w:tcPr>
          <w:p>
            <w:r>
              <w:rPr>
                <w:sz w:val="18"/>
              </w:rPr>
              <w:t>Yes</w:t>
            </w:r>
          </w:p>
        </w:tc>
        <w:tc>
          <w:tcPr>
            <w:tcW w:type="dxa" w:w="2880"/>
          </w:tcPr>
          <w:p>
            <w:r>
              <w:rPr>
                <w:sz w:val="18"/>
              </w:rPr>
              <w:t>30 credential records (multiple staff members)</w:t>
            </w:r>
          </w:p>
        </w:tc>
      </w:tr>
      <w:tr>
        <w:tc>
          <w:tcPr>
            <w:tcW w:type="dxa" w:w="2880"/>
          </w:tcPr>
          <w:p>
            <w:r>
              <w:rPr>
                <w:sz w:val="18"/>
              </w:rPr>
              <w:t>AQS (Aquatics Supervisor Certificate)</w:t>
            </w:r>
          </w:p>
        </w:tc>
        <w:tc>
          <w:tcPr>
            <w:tcW w:type="dxa" w:w="2880"/>
          </w:tcPr>
          <w:p>
            <w:r>
              <w:rPr>
                <w:sz w:val="18"/>
              </w:rPr>
              <w:t>No — NOT assessment-authorized</w:t>
            </w:r>
          </w:p>
        </w:tc>
        <w:tc>
          <w:tcPr>
            <w:tcW w:type="dxa" w:w="2880"/>
          </w:tcPr>
          <w:p>
            <w:r>
              <w:rPr>
                <w:sz w:val="18"/>
              </w:rPr>
              <w:t>1 (Martin T. Eberly — current but unauthorized per matrix Rev. 2021)</w:t>
            </w:r>
          </w:p>
        </w:tc>
      </w:tr>
    </w:tbl>
    <w:p>
      <w:r>
        <w:rPr>
          <w:b/>
        </w:rPr>
        <w:t xml:space="preserve">Assessment-authorized staff count: </w:t>
      </w:r>
      <w:r>
        <w:t>37 unique staff members hold WSI, LGI, or LG-WF credentials at Corrigwell. Of these, 11 have credentials expiring within 60 days of the reporting date and 2 have expired LG-WF credentials (Brian Holden, Regina Snyder, Rickey Torres, Scott Hendricks — note: Hendricks also has expired WSI). Note: AQS is NOT assessment-authorized per the matrix (Rev. 2021 onward), even when current.</w:t>
      </w:r>
    </w:p>
    <w:p>
      <w:r>
        <w:rPr>
          <w:i/>
        </w:rPr>
        <w:t xml:space="preserve">Citation: </w:t>
      </w:r>
      <w:r>
        <w:rPr>
          <w:i/>
        </w:rPr>
        <w:t>Corrigwell Lifeguard Certification File 2026.xlsx; Credential-Track Authorization Matrix.xlsx; Swim Classification and Authorization Standard.docx → §3 Authorization to assess</w:t>
      </w:r>
    </w:p>
    <w:p>
      <w:r>
        <w:rPr>
          <w:b/>
        </w:rPr>
        <w:t>Table 6 — Missing Data Points</w:t>
      </w:r>
    </w:p>
    <w:p>
      <w:pPr>
        <w:pStyle w:val="ListBullet"/>
      </w:pPr>
      <w:r>
        <w:t>Beginner Test Retest Log 2026.csv: 62 recorded beginner retests across all sessions (Session 1: 12, Session 2: 18, Session 3: 32), involving 59 unique campers. These retests represent partial mitigation but do not eliminate the need for full re-assessment of all 489 nonswimmer/beginner campers.</w:t>
      </w:r>
    </w:p>
    <w:p>
      <w:pPr>
        <w:pStyle w:val="ListBullet"/>
      </w:pPr>
      <w:r>
        <w:t>Corrigwell Water Quality Log 2026.xlsx, Corrigwell Ratio Schedule 2026.xlsx, Corrigwell Incident and First Aid Log 2026.xlsx: Per Scope Isolation Memo (WF2), Corrigwell 2026 operational logs are compliant but operational data does not bear on credential authority. Summary confirmed via Scope Isolation Memo; file-level details not separately extractable for this memo format.</w:t>
      </w:r>
    </w:p>
    <w:p>
      <w:pPr>
        <w:pStyle w:val="ListBullet"/>
      </w:pPr>
      <w:r>
        <w:t>Individual camper records for the 489 re-assessment candidates: The band counts file aggregates by unit; individual camper identification and their original sign-off history are in Corrigwell Swim Classification Roster 2026.xlsx (810 rows). Full re-assessment tracking requires individual matching against these records.</w:t>
      </w:r>
    </w:p>
    <w:p>
      <w:pPr>
        <w:pStyle w:val="Heading1"/>
      </w:pPr>
      <w:r>
        <w:t>5. STEP 4 — DEADLINE FEASIBILITY EVALUATION</w:t>
      </w:r>
    </w:p>
    <w:p>
      <w:r>
        <w:rPr>
          <w:b/>
        </w:rPr>
        <w:t xml:space="preserve">Source: </w:t>
      </w:r>
      <w:r>
        <w:t>Deadline Coordination Memo 2026.docx [Deadline Coordination Memo 2026.docx]; Corrective Action Plan 2026.docx [Corrective Action Plan 2026.docx]</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6"/>
              </w:rPr>
              <w:t>Deadline</w:t>
            </w:r>
          </w:p>
        </w:tc>
        <w:tc>
          <w:tcPr>
            <w:tcW w:type="dxa" w:w="1728"/>
          </w:tcPr>
          <w:p>
            <w:r>
              <w:rPr>
                <w:b/>
                <w:sz w:val="16"/>
              </w:rPr>
              <w:t>Authority</w:t>
            </w:r>
          </w:p>
        </w:tc>
        <w:tc>
          <w:tcPr>
            <w:tcW w:type="dxa" w:w="1728"/>
          </w:tcPr>
          <w:p>
            <w:r>
              <w:rPr>
                <w:b/>
                <w:sz w:val="16"/>
              </w:rPr>
              <w:t>Calculation Method</w:t>
            </w:r>
          </w:p>
        </w:tc>
        <w:tc>
          <w:tcPr>
            <w:tcW w:type="dxa" w:w="1728"/>
          </w:tcPr>
          <w:p>
            <w:r>
              <w:rPr>
                <w:b/>
                <w:sz w:val="16"/>
              </w:rPr>
              <w:t>Due Date</w:t>
            </w:r>
          </w:p>
        </w:tc>
        <w:tc>
          <w:tcPr>
            <w:tcW w:type="dxa" w:w="1728"/>
          </w:tcPr>
          <w:p>
            <w:r>
              <w:rPr>
                <w:b/>
                <w:sz w:val="16"/>
              </w:rPr>
              <w:t>Owner</w:t>
            </w:r>
          </w:p>
        </w:tc>
      </w:tr>
      <w:tr>
        <w:tc>
          <w:tcPr>
            <w:tcW w:type="dxa" w:w="1728"/>
          </w:tcPr>
          <w:p>
            <w:r>
              <w:rPr>
                <w:sz w:val="16"/>
              </w:rPr>
              <w:t>Underwriting Documentation</w:t>
            </w:r>
          </w:p>
        </w:tc>
        <w:tc>
          <w:tcPr>
            <w:tcW w:type="dxa" w:w="1728"/>
          </w:tcPr>
          <w:p>
            <w:r>
              <w:rPr>
                <w:sz w:val="16"/>
              </w:rPr>
              <w:t>Great Pines Mutual</w:t>
            </w:r>
          </w:p>
        </w:tc>
        <w:tc>
          <w:tcPr>
            <w:tcW w:type="dxa" w:w="1728"/>
          </w:tcPr>
          <w:p>
            <w:r>
              <w:rPr>
                <w:sz w:val="16"/>
              </w:rPr>
              <w:t>30 days before Aug 1 policy anniversary</w:t>
            </w:r>
          </w:p>
        </w:tc>
        <w:tc>
          <w:tcPr>
            <w:tcW w:type="dxa" w:w="1728"/>
          </w:tcPr>
          <w:p>
            <w:r>
              <w:rPr>
                <w:sz w:val="16"/>
              </w:rPr>
              <w:t>July 2, 2026</w:t>
            </w:r>
          </w:p>
        </w:tc>
        <w:tc>
          <w:tcPr>
            <w:tcW w:type="dxa" w:w="1728"/>
          </w:tcPr>
          <w:p>
            <w:r>
              <w:rPr>
                <w:sz w:val="16"/>
              </w:rPr>
              <w:t>C. A. Whitmore (underwriter)</w:t>
            </w:r>
          </w:p>
        </w:tc>
      </w:tr>
      <w:tr>
        <w:tc>
          <w:tcPr>
            <w:tcW w:type="dxa" w:w="1728"/>
          </w:tcPr>
          <w:p>
            <w:r>
              <w:rPr>
                <w:sz w:val="16"/>
              </w:rPr>
              <w:t>License Renewal Application</w:t>
            </w:r>
          </w:p>
        </w:tc>
        <w:tc>
          <w:tcPr>
            <w:tcW w:type="dxa" w:w="1728"/>
          </w:tcPr>
          <w:p>
            <w:r>
              <w:rPr>
                <w:sz w:val="16"/>
              </w:rPr>
              <w:t>Bureau Licensing Unit</w:t>
            </w:r>
          </w:p>
        </w:tc>
        <w:tc>
          <w:tcPr>
            <w:tcW w:type="dxa" w:w="1728"/>
          </w:tcPr>
          <w:p>
            <w:r>
              <w:rPr>
                <w:sz w:val="16"/>
              </w:rPr>
              <w:t>Fixed calendar date</w:t>
            </w:r>
          </w:p>
        </w:tc>
        <w:tc>
          <w:tcPr>
            <w:tcW w:type="dxa" w:w="1728"/>
          </w:tcPr>
          <w:p>
            <w:r>
              <w:rPr>
                <w:sz w:val="16"/>
              </w:rPr>
              <w:t>July 15, 2026</w:t>
            </w:r>
          </w:p>
        </w:tc>
        <w:tc>
          <w:tcPr>
            <w:tcW w:type="dxa" w:w="1728"/>
          </w:tcPr>
          <w:p>
            <w:r>
              <w:rPr>
                <w:sz w:val="16"/>
              </w:rPr>
              <w:t>P. Natarajan (Risk &amp; Compliance)</w:t>
            </w:r>
          </w:p>
        </w:tc>
      </w:tr>
      <w:tr>
        <w:tc>
          <w:tcPr>
            <w:tcW w:type="dxa" w:w="1728"/>
          </w:tcPr>
          <w:p>
            <w:r>
              <w:rPr>
                <w:sz w:val="16"/>
              </w:rPr>
              <w:t>CAP Response</w:t>
            </w:r>
          </w:p>
        </w:tc>
        <w:tc>
          <w:tcPr>
            <w:tcW w:type="dxa" w:w="1728"/>
          </w:tcPr>
          <w:p>
            <w:r>
              <w:rPr>
                <w:sz w:val="16"/>
              </w:rPr>
              <w:t>Bureau Findings Unit</w:t>
            </w:r>
          </w:p>
        </w:tc>
        <w:tc>
          <w:tcPr>
            <w:tcW w:type="dxa" w:w="1728"/>
          </w:tcPr>
          <w:p>
            <w:r>
              <w:rPr>
                <w:sz w:val="16"/>
              </w:rPr>
              <w:t>45 days from June 15 finding letter</w:t>
            </w:r>
          </w:p>
        </w:tc>
        <w:tc>
          <w:tcPr>
            <w:tcW w:type="dxa" w:w="1728"/>
          </w:tcPr>
          <w:p>
            <w:r>
              <w:rPr>
                <w:sz w:val="16"/>
              </w:rPr>
              <w:t>July 30, 2026</w:t>
            </w:r>
          </w:p>
        </w:tc>
        <w:tc>
          <w:tcPr>
            <w:tcW w:type="dxa" w:w="1728"/>
          </w:tcPr>
          <w:p>
            <w:r>
              <w:rPr>
                <w:sz w:val="16"/>
              </w:rPr>
              <w:t>P. Natarajan (Risk &amp; Compliance)</w:t>
            </w:r>
          </w:p>
        </w:tc>
      </w:tr>
    </w:tbl>
    <w:p>
      <w:r>
        <w:rPr>
          <w:i/>
        </w:rPr>
        <w:t xml:space="preserve">Citation: </w:t>
      </w:r>
      <w:r>
        <w:rPr>
          <w:i/>
        </w:rPr>
        <w:t>Deadline Coordination Memo 2026.docx → deadline table</w:t>
      </w:r>
    </w:p>
    <w:p>
      <w:r>
        <w:rPr>
          <w:b/>
        </w:rPr>
        <w:t>FEASIBILITY ASSESSMENT</w:t>
      </w:r>
    </w:p>
    <w:p>
      <w:r>
        <w:rPr>
          <w:b/>
        </w:rPr>
        <w:t xml:space="preserve">Underwriting Deadline (July 2): </w:t>
      </w:r>
      <w:r>
        <w:t>CANNOT BE MET with full re-assessment completion. As of July 1, only 1 day remains before this deadline. The underwriting packet requires documentation of the CAP in progress and operational compliance evidence — not completed re-assessments. Recommend filing with the action table as-status, referencing CAP-2026-01 as "in-progress" (per Deadline Coordination Memo: Natarajan will file the application describing CAP-2026-01 as in-progress with its action table). Underwriting documentation can proceed on operational records and CAP milestones without completed swimmer re-assessments.</w:t>
      </w:r>
    </w:p>
    <w:p>
      <w:r>
        <w:rPr>
          <w:b/>
        </w:rPr>
        <w:t xml:space="preserve">Licensing Deadline (July 15): </w:t>
      </w:r>
      <w:r>
        <w:t>CONDITIONALLY FEASIBLE with immediate action. CAP-2026-01 Action 1 targets completion of Session 1–2 camper re-assessment by July 17 (per Corrective Action Plan: "Re-administer swim-ability assessments for all 2026 Corrigwell campers whose current classification rests on a 2022–2026 sign-off, using WSI/LGI/LG-WF authorized assessors under the Waterfront Director" — due 07/17/2026, status: in progress). Session 3 (starting ~July 20) will be assessed by authorized staff from the outset. The license renewal application must describe the CAP as in-progress with its action table as it stood on the filing date.</w:t>
      </w:r>
    </w:p>
    <w:p>
      <w:r>
        <w:rPr>
          <w:b/>
        </w:rPr>
        <w:t xml:space="preserve">CAP Response Deadline (July 30): </w:t>
      </w:r>
      <w:r>
        <w:t>FEASIBLE. 29 days remain from reporting date (July 1). The CAP includes 8 corrective actions with milestones through August. Session 3 re-assessment will be completed by August 20 season close. The six-site sweep report (WF4, dated August 7) will provide additional data for the final CAP submission.</w:t>
      </w:r>
    </w:p>
    <w:p>
      <w:pPr>
        <w:pStyle w:val="Heading1"/>
      </w:pPr>
      <w:r>
        <w:t>6. RECOMMENDATIONS</w:t>
      </w:r>
    </w:p>
    <w:p>
      <w:pPr>
        <w:pStyle w:val="ListNumber"/>
      </w:pPr>
      <w:r>
        <w:t>Immediately escalate re-assessment throughput for Session 1–2 campers to meet the July 17 target under CAP-2026-01 Action 1.</w:t>
      </w:r>
    </w:p>
    <w:p>
      <w:pPr>
        <w:pStyle w:val="ListNumber"/>
      </w:pPr>
      <w:r>
        <w:t>File the license renewal application by July 15 describing CAP-2026-01 as in-progress, with the action table as it stood on the filing date.</w:t>
      </w:r>
    </w:p>
    <w:p>
      <w:pPr>
        <w:pStyle w:val="ListNumber"/>
      </w:pPr>
      <w:r>
        <w:t>File the underwriting questionnaire with Great Pines Mutual by July 2, including operational compliance evidence and CAP milestones (no separate spreadsheets — incorporated herein).</w:t>
      </w:r>
    </w:p>
    <w:p>
      <w:pPr>
        <w:pStyle w:val="ListNumber"/>
      </w:pPr>
      <w:r>
        <w:t>Schedule never-examined sites (Tamarack Ridge, Bluegill Point, Heron Landing, Otter Run) for 2027 pre-season examination subject to fall budget amendment.</w:t>
      </w:r>
    </w:p>
    <w:p>
      <w:pPr>
        <w:pStyle w:val="ListNumber"/>
      </w:pPr>
      <w:r>
        <w:t>Implement hiring-time credential verification gate (CAP-2026-01 Action 2) before next season to prevent recurrence.</w:t>
      </w:r>
    </w:p>
    <w:p>
      <w:pPr>
        <w:pStyle w:val="Heading1"/>
      </w:pPr>
      <w:r>
        <w:t>7. SOURCE FILE INDEX</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File</w:t>
            </w:r>
          </w:p>
        </w:tc>
        <w:tc>
          <w:tcPr>
            <w:tcW w:type="dxa" w:w="2880"/>
          </w:tcPr>
          <w:p>
            <w:r>
              <w:rPr>
                <w:b/>
                <w:sz w:val="18"/>
              </w:rPr>
              <w:t>Location</w:t>
            </w:r>
          </w:p>
        </w:tc>
        <w:tc>
          <w:tcPr>
            <w:tcW w:type="dxa" w:w="2880"/>
          </w:tcPr>
          <w:p>
            <w:r>
              <w:rPr>
                <w:b/>
                <w:sz w:val="18"/>
              </w:rPr>
              <w:t>Use in This Memo</w:t>
            </w:r>
          </w:p>
        </w:tc>
      </w:tr>
      <w:tr>
        <w:tc>
          <w:tcPr>
            <w:tcW w:type="dxa" w:w="2880"/>
          </w:tcPr>
          <w:p>
            <w:r>
              <w:rPr>
                <w:sz w:val="18"/>
              </w:rPr>
              <w:t>Six-Site Credential Sweep Report 2026.docx</w:t>
            </w:r>
          </w:p>
        </w:tc>
        <w:tc>
          <w:tcPr>
            <w:tcW w:type="dxa" w:w="2880"/>
          </w:tcPr>
          <w:p>
            <w:r>
              <w:rPr>
                <w:sz w:val="18"/>
              </w:rPr>
              <w:t>Corporate Risk and Compliance/</w:t>
            </w:r>
          </w:p>
        </w:tc>
        <w:tc>
          <w:tcPr>
            <w:tcW w:type="dxa" w:w="2880"/>
          </w:tcPr>
          <w:p>
            <w:r>
              <w:rPr>
                <w:sz w:val="18"/>
              </w:rPr>
              <w:t>Site classifications, sweep statuses</w:t>
            </w:r>
          </w:p>
        </w:tc>
      </w:tr>
      <w:tr>
        <w:tc>
          <w:tcPr>
            <w:tcW w:type="dxa" w:w="2880"/>
          </w:tcPr>
          <w:p>
            <w:r>
              <w:rPr>
                <w:sz w:val="18"/>
              </w:rPr>
              <w:t>Scope Isolation Memo 2026.docx</w:t>
            </w:r>
          </w:p>
        </w:tc>
        <w:tc>
          <w:tcPr>
            <w:tcW w:type="dxa" w:w="2880"/>
          </w:tcPr>
          <w:p>
            <w:r>
              <w:rPr>
                <w:sz w:val="18"/>
              </w:rPr>
              <w:t>Corporate Risk and Compliance/</w:t>
            </w:r>
          </w:p>
        </w:tc>
        <w:tc>
          <w:tcPr>
            <w:tcW w:type="dxa" w:w="2880"/>
          </w:tcPr>
          <w:p>
            <w:r>
              <w:rPr>
                <w:sz w:val="18"/>
              </w:rPr>
              <w:t>Operational record scope confirmation</w:t>
            </w:r>
          </w:p>
        </w:tc>
      </w:tr>
      <w:tr>
        <w:tc>
          <w:tcPr>
            <w:tcW w:type="dxa" w:w="2880"/>
          </w:tcPr>
          <w:p>
            <w:r>
              <w:rPr>
                <w:sz w:val="18"/>
              </w:rPr>
              <w:t>Corrigwell Swim Classification Roster 2026.xlsx</w:t>
            </w:r>
          </w:p>
        </w:tc>
        <w:tc>
          <w:tcPr>
            <w:tcW w:type="dxa" w:w="2880"/>
          </w:tcPr>
          <w:p>
            <w:r>
              <w:rPr>
                <w:sz w:val="18"/>
              </w:rPr>
              <w:t>Swim Classification Records/Corrigwell/2026/</w:t>
            </w:r>
          </w:p>
        </w:tc>
        <w:tc>
          <w:tcPr>
            <w:tcW w:type="dxa" w:w="2880"/>
          </w:tcPr>
          <w:p>
            <w:r>
              <w:rPr>
                <w:sz w:val="18"/>
              </w:rPr>
              <w:t>Band counts, roster data</w:t>
            </w:r>
          </w:p>
        </w:tc>
      </w:tr>
      <w:tr>
        <w:tc>
          <w:tcPr>
            <w:tcW w:type="dxa" w:w="2880"/>
          </w:tcPr>
          <w:p>
            <w:r>
              <w:rPr>
                <w:sz w:val="18"/>
              </w:rPr>
              <w:t>Credential-Track Authorization Matrix.xlsx</w:t>
            </w:r>
          </w:p>
        </w:tc>
        <w:tc>
          <w:tcPr>
            <w:tcW w:type="dxa" w:w="2880"/>
          </w:tcPr>
          <w:p>
            <w:r>
              <w:rPr>
                <w:sz w:val="18"/>
              </w:rPr>
              <w:t>Credential Records/</w:t>
            </w:r>
          </w:p>
        </w:tc>
        <w:tc>
          <w:tcPr>
            <w:tcW w:type="dxa" w:w="2880"/>
          </w:tcPr>
          <w:p>
            <w:r>
              <w:rPr>
                <w:sz w:val="18"/>
              </w:rPr>
              <w:t>Assessment-authorized credential tracks</w:t>
            </w:r>
          </w:p>
        </w:tc>
      </w:tr>
      <w:tr>
        <w:tc>
          <w:tcPr>
            <w:tcW w:type="dxa" w:w="2880"/>
          </w:tcPr>
          <w:p>
            <w:r>
              <w:rPr>
                <w:sz w:val="18"/>
              </w:rPr>
              <w:t>Swim Classification and Authorization Standard.docx</w:t>
            </w:r>
          </w:p>
        </w:tc>
        <w:tc>
          <w:tcPr>
            <w:tcW w:type="dxa" w:w="2880"/>
          </w:tcPr>
          <w:p>
            <w:r>
              <w:rPr>
                <w:sz w:val="18"/>
              </w:rPr>
              <w:t>Corporate Risk and Compliance/</w:t>
            </w:r>
          </w:p>
        </w:tc>
        <w:tc>
          <w:tcPr>
            <w:tcW w:type="dxa" w:w="2880"/>
          </w:tcPr>
          <w:p>
            <w:r>
              <w:rPr>
                <w:sz w:val="18"/>
              </w:rPr>
              <w:t>Band definitions, assessment authority rules</w:t>
            </w:r>
          </w:p>
        </w:tc>
      </w:tr>
      <w:tr>
        <w:tc>
          <w:tcPr>
            <w:tcW w:type="dxa" w:w="2880"/>
          </w:tcPr>
          <w:p>
            <w:r>
              <w:rPr>
                <w:sz w:val="18"/>
              </w:rPr>
              <w:t>Corrigwell Water Quality Log 2026.xlsx</w:t>
            </w:r>
          </w:p>
        </w:tc>
        <w:tc>
          <w:tcPr>
            <w:tcW w:type="dxa" w:w="2880"/>
          </w:tcPr>
          <w:p>
            <w:r>
              <w:rPr>
                <w:sz w:val="18"/>
              </w:rPr>
              <w:t>Waterfront Operations/</w:t>
            </w:r>
          </w:p>
        </w:tc>
        <w:tc>
          <w:tcPr>
            <w:tcW w:type="dxa" w:w="2880"/>
          </w:tcPr>
          <w:p>
            <w:r>
              <w:rPr>
                <w:sz w:val="18"/>
              </w:rPr>
              <w:t>Water quality compliance data</w:t>
            </w:r>
          </w:p>
        </w:tc>
      </w:tr>
      <w:tr>
        <w:tc>
          <w:tcPr>
            <w:tcW w:type="dxa" w:w="2880"/>
          </w:tcPr>
          <w:p>
            <w:r>
              <w:rPr>
                <w:sz w:val="18"/>
              </w:rPr>
              <w:t>Corrigwell Ratio Schedule 2026.xlsx</w:t>
            </w:r>
          </w:p>
        </w:tc>
        <w:tc>
          <w:tcPr>
            <w:tcW w:type="dxa" w:w="2880"/>
          </w:tcPr>
          <w:p>
            <w:r>
              <w:rPr>
                <w:sz w:val="18"/>
              </w:rPr>
              <w:t>Waterfront Operations/</w:t>
            </w:r>
          </w:p>
        </w:tc>
        <w:tc>
          <w:tcPr>
            <w:tcW w:type="dxa" w:w="2880"/>
          </w:tcPr>
          <w:p>
            <w:r>
              <w:rPr>
                <w:sz w:val="18"/>
              </w:rPr>
              <w:t>1:25 ratio compliance data</w:t>
            </w:r>
          </w:p>
        </w:tc>
      </w:tr>
      <w:tr>
        <w:tc>
          <w:tcPr>
            <w:tcW w:type="dxa" w:w="2880"/>
          </w:tcPr>
          <w:p>
            <w:r>
              <w:rPr>
                <w:sz w:val="18"/>
              </w:rPr>
              <w:t>Corrigwell Incident and First Aid Log 2026.xlsx</w:t>
            </w:r>
          </w:p>
        </w:tc>
        <w:tc>
          <w:tcPr>
            <w:tcW w:type="dxa" w:w="2880"/>
          </w:tcPr>
          <w:p>
            <w:r>
              <w:rPr>
                <w:sz w:val="18"/>
              </w:rPr>
              <w:t>Waterfront Operations/</w:t>
            </w:r>
          </w:p>
        </w:tc>
        <w:tc>
          <w:tcPr>
            <w:tcW w:type="dxa" w:w="2880"/>
          </w:tcPr>
          <w:p>
            <w:r>
              <w:rPr>
                <w:sz w:val="18"/>
              </w:rPr>
              <w:t>Incident compliance data</w:t>
            </w:r>
          </w:p>
        </w:tc>
      </w:tr>
      <w:tr>
        <w:tc>
          <w:tcPr>
            <w:tcW w:type="dxa" w:w="2880"/>
          </w:tcPr>
          <w:p>
            <w:r>
              <w:rPr>
                <w:sz w:val="18"/>
              </w:rPr>
              <w:t>Credential Expiry Tracker 2026.xlsx</w:t>
            </w:r>
          </w:p>
        </w:tc>
        <w:tc>
          <w:tcPr>
            <w:tcW w:type="dxa" w:w="2880"/>
          </w:tcPr>
          <w:p>
            <w:r>
              <w:rPr>
                <w:sz w:val="18"/>
              </w:rPr>
              <w:t>Credential Records/Corrigwell/2026/</w:t>
            </w:r>
          </w:p>
        </w:tc>
        <w:tc>
          <w:tcPr>
            <w:tcW w:type="dxa" w:w="2880"/>
          </w:tcPr>
          <w:p>
            <w:r>
              <w:rPr>
                <w:sz w:val="18"/>
              </w:rPr>
              <w:t>Credential expiration tracking</w:t>
            </w:r>
          </w:p>
        </w:tc>
      </w:tr>
      <w:tr>
        <w:tc>
          <w:tcPr>
            <w:tcW w:type="dxa" w:w="2880"/>
          </w:tcPr>
          <w:p>
            <w:r>
              <w:rPr>
                <w:sz w:val="18"/>
              </w:rPr>
              <w:t>Deadline Coordination Memo 2026.docx</w:t>
            </w:r>
          </w:p>
        </w:tc>
        <w:tc>
          <w:tcPr>
            <w:tcW w:type="dxa" w:w="2880"/>
          </w:tcPr>
          <w:p>
            <w:r>
              <w:rPr>
                <w:sz w:val="18"/>
              </w:rPr>
              <w:t>Camp Administration/</w:t>
            </w:r>
          </w:p>
        </w:tc>
        <w:tc>
          <w:tcPr>
            <w:tcW w:type="dxa" w:w="2880"/>
          </w:tcPr>
          <w:p>
            <w:r>
              <w:rPr>
                <w:sz w:val="18"/>
              </w:rPr>
              <w:t>July deadline calendar and owners</w:t>
            </w:r>
          </w:p>
        </w:tc>
      </w:tr>
      <w:tr>
        <w:tc>
          <w:tcPr>
            <w:tcW w:type="dxa" w:w="2880"/>
          </w:tcPr>
          <w:p>
            <w:r>
              <w:rPr>
                <w:sz w:val="18"/>
              </w:rPr>
              <w:t>Beginner Test Retest Log 2026.csv</w:t>
            </w:r>
          </w:p>
        </w:tc>
        <w:tc>
          <w:tcPr>
            <w:tcW w:type="dxa" w:w="2880"/>
          </w:tcPr>
          <w:p>
            <w:r>
              <w:rPr>
                <w:sz w:val="18"/>
              </w:rPr>
              <w:t>Swim Classification Records/Corrigwell/2026/</w:t>
            </w:r>
          </w:p>
        </w:tc>
        <w:tc>
          <w:tcPr>
            <w:tcW w:type="dxa" w:w="2880"/>
          </w:tcPr>
          <w:p>
            <w:r>
              <w:rPr>
                <w:sz w:val="18"/>
              </w:rPr>
              <w:t>Beginner retest records</w:t>
            </w:r>
          </w:p>
        </w:tc>
      </w:tr>
      <w:tr>
        <w:tc>
          <w:tcPr>
            <w:tcW w:type="dxa" w:w="2880"/>
          </w:tcPr>
          <w:p>
            <w:r>
              <w:rPr>
                <w:sz w:val="18"/>
              </w:rPr>
              <w:t>State Finding Letter - Corrigwell 2026.pdf</w:t>
            </w:r>
          </w:p>
        </w:tc>
        <w:tc>
          <w:tcPr>
            <w:tcW w:type="dxa" w:w="2880"/>
          </w:tcPr>
          <w:p>
            <w:r>
              <w:rPr>
                <w:sz w:val="18"/>
              </w:rPr>
              <w:t>State Licensing/</w:t>
            </w:r>
          </w:p>
        </w:tc>
        <w:tc>
          <w:tcPr>
            <w:tcW w:type="dxa" w:w="2880"/>
          </w:tcPr>
          <w:p>
            <w:r>
              <w:rPr>
                <w:sz w:val="18"/>
              </w:rPr>
              <w:t>Bureau findings (Case No. BYC-FND-2026-0147)</w:t>
            </w:r>
          </w:p>
        </w:tc>
      </w:tr>
    </w:tbl>
    <w:p/>
    <w:p>
      <w:pPr>
        <w:jc w:val="center"/>
      </w:pPr>
      <w:r>
        <w:rPr>
          <w:i/>
          <w:sz w:val="20"/>
        </w:rPr>
        <w:t>— End of Memo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