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4A306D"/>
          <w:sz w:val="36"/>
        </w:rPr>
        <w:t>KVL Camps</w:t>
      </w:r>
    </w:p>
    <w:p>
      <w:pPr>
        <w:spacing w:after="0"/>
      </w:pPr>
      <w:r>
        <w:rPr>
          <w:sz w:val="18"/>
        </w:rPr>
        <w:t>18 Pinewold Road</w:t>
      </w:r>
    </w:p>
    <w:p>
      <w:pPr>
        <w:spacing w:after="0"/>
      </w:pPr>
      <w:r>
        <w:rPr>
          <w:sz w:val="18"/>
        </w:rPr>
        <w:t>Corrigwell Lake, AV 04237</w:t>
      </w:r>
    </w:p>
    <w:p>
      <w:pPr>
        <w:spacing w:after="0"/>
      </w:pPr>
      <w:r>
        <w:rPr>
          <w:sz w:val="18"/>
        </w:rPr>
        <w:t>Aquatics Standards Department</w:t>
      </w:r>
    </w:p>
    <w:p>
      <w:pPr>
        <w:pBdr>
          <w:bottom w:val="single" w:sz="16" w:space="1" w:color="4A306D"/>
        </w:pBdr>
      </w:pPr>
    </w:p>
    <w:p>
      <w:pPr>
        <w:pStyle w:val="Heading1"/>
        <w:pBdr>
          <w:bottom w:val="single" w:sz="6" w:space="2" w:color="4A306D"/>
        </w:pBdr>
      </w:pPr>
      <w:r>
        <w:rPr>
          <w:rFonts w:ascii="Cambria" w:hAnsi="Cambria"/>
          <w:b/>
          <w:color w:val="4A306D"/>
          <w:sz w:val="32"/>
        </w:rPr>
        <w:t>Annual Swimming Safety Plan Review - 2023 Season</w:t>
      </w:r>
    </w:p>
    <w:p>
      <w:r>
        <w:rPr>
          <w:b w:val="0"/>
          <w:i/>
        </w:rPr>
        <w:t>KVL Camps Aquatics Standards Department - review completed November 17, 2023</w:t>
      </w:r>
    </w:p>
    <w:p>
      <w:r>
        <w:rPr>
          <w:b w:val="0"/>
          <w:i w:val="0"/>
        </w:rPr>
        <w:t>Prepared by Raquel I. Delgado, Director of Aquatics Standards. This is the department's second formal annual review under the current safety plan format and covers the 2023 season at all six sites.</w:t>
      </w:r>
    </w:p>
    <w:p>
      <w:pPr>
        <w:pStyle w:val="Heading1"/>
        <w:pBdr>
          <w:bottom w:val="single" w:sz="6" w:space="2" w:color="4A306D"/>
        </w:pBdr>
      </w:pPr>
      <w:r>
        <w:rPr>
          <w:rFonts w:ascii="Cambria" w:hAnsi="Cambria"/>
          <w:b/>
          <w:color w:val="4A306D"/>
          <w:sz w:val="32"/>
        </w:rPr>
        <w:t>1. Season overview</w:t>
      </w:r>
    </w:p>
    <w:p>
      <w:r>
        <w:rPr>
          <w:b w:val="0"/>
          <w:i w:val="0"/>
        </w:rPr>
        <w:t>KVL Camps served approximately 4,650 campers in 2023 across Corrigwell and the five sibling sites. The season ran the full calendar at every site with no weather closures of more than one swim period. Corrigwell enrolled 795 campers across three sessions and operated all three swim areas through Session 2.</w:t>
      </w:r>
    </w:p>
    <w:p>
      <w:pPr>
        <w:pStyle w:val="Heading1"/>
        <w:pBdr>
          <w:bottom w:val="single" w:sz="6" w:space="2" w:color="4A306D"/>
        </w:pBdr>
      </w:pPr>
      <w:r>
        <w:rPr>
          <w:rFonts w:ascii="Cambria" w:hAnsi="Cambria"/>
          <w:b/>
          <w:color w:val="4A306D"/>
          <w:sz w:val="32"/>
        </w:rPr>
        <w:t>2. Water quality</w:t>
      </w:r>
    </w:p>
    <w:p>
      <w:r>
        <w:rPr>
          <w:b w:val="0"/>
          <w:i w:val="0"/>
        </w:rPr>
        <w:t>Water-quality practice was consistent with the 2022 baseline and improved in one respect: the day-camp sites moved from once-daily to twice-daily testing in mid-June, closing a gap this review flagged last year. Free chlorine at Corrigwell ran 1.4 to 3.5 ppm across the season with one documented low reading (0.8 ppm) at the 7:00 a.m. test on July 19, corrected before the area opened and recorded with a re-test. pH stayed inside 7.2 to 7.8 at all sites. Cyanuric acid at the stabilized outdoor sites ranged 32 to 48 ppm. No swim area closed for chemistry in 2023.</w:t>
      </w:r>
    </w:p>
    <w:p>
      <w:pPr>
        <w:pStyle w:val="Heading1"/>
        <w:pBdr>
          <w:bottom w:val="single" w:sz="6" w:space="2" w:color="4A306D"/>
        </w:pBdr>
      </w:pPr>
      <w:r>
        <w:rPr>
          <w:rFonts w:ascii="Cambria" w:hAnsi="Cambria"/>
          <w:b/>
          <w:color w:val="4A306D"/>
          <w:sz w:val="32"/>
        </w:rPr>
        <w:t>3. Supervision and ratios</w:t>
      </w:r>
    </w:p>
    <w:p>
      <w:r>
        <w:rPr>
          <w:b w:val="0"/>
          <w:i w:val="0"/>
        </w:rPr>
        <w:t>The 1:25 supervision ratio was met at every sampled rotation at every site. Buddy-board discipline improved measurably after the spring in-service; board counts reconciled with roster counts at 98% of sampled checks. Two ratio observations, both minor: Heron Landing's Session 2 rotation sheets show guards assigned without names in three blocks (initials only), and Tamarack Ridge's Session 3 sheet has one unsigned day. Both sites were reminded that the schedule is a legal record and must be initialed by the supervisor of record.</w:t>
      </w:r>
    </w:p>
    <w:p>
      <w:pPr>
        <w:pStyle w:val="Heading1"/>
        <w:pBdr>
          <w:bottom w:val="single" w:sz="6" w:space="2" w:color="4A306D"/>
        </w:pBdr>
      </w:pPr>
      <w:r>
        <w:rPr>
          <w:rFonts w:ascii="Cambria" w:hAnsi="Cambria"/>
          <w:b/>
          <w:color w:val="4A306D"/>
          <w:sz w:val="32"/>
        </w:rPr>
        <w:t>4. Incidents and first aid</w:t>
      </w:r>
    </w:p>
    <w:p>
      <w:r>
        <w:rPr>
          <w:b w:val="0"/>
          <w:i w:val="0"/>
        </w:rPr>
        <w:t>The 2023 logs record 122 entries, all minor: abrasions, splinters, stings, and one bee-sting reaction at Bluegill Point handled with the camper's own epinephrine auto-injector and parent notification. No state-reportable incidents occurred. The first-aid supply audit found two expired burn dressings at Otter Run, replaced on the spot.</w:t>
      </w:r>
    </w:p>
    <w:p>
      <w:pPr>
        <w:pStyle w:val="Heading1"/>
        <w:pBdr>
          <w:bottom w:val="single" w:sz="6" w:space="2" w:color="4A306D"/>
        </w:pBdr>
      </w:pPr>
      <w:r>
        <w:rPr>
          <w:rFonts w:ascii="Cambria" w:hAnsi="Cambria"/>
          <w:b/>
          <w:color w:val="4A306D"/>
          <w:sz w:val="32"/>
        </w:rPr>
        <w:t>5. Swim classification program</w:t>
      </w:r>
    </w:p>
    <w:p>
      <w:r>
        <w:rPr>
          <w:b w:val="0"/>
          <w:i w:val="0"/>
        </w:rPr>
        <w:t>Classification ran on schedule. Corrigwell classified 795 campers (20% nonswimmer, 34% beginner, 46% swimmer). The department piloted a retest-encouragement script at the beginner band and retest requests rose from 44 in 2022 to 58 in 2023, which we read as campers understanding the system better, not as a testing failure. Signature blocks are complete at all sites; the 2023 rosters are signed by the supervising aquatics staff member at each site.</w:t>
      </w:r>
    </w:p>
    <w:p>
      <w:pPr>
        <w:pStyle w:val="Heading1"/>
        <w:pBdr>
          <w:bottom w:val="single" w:sz="6" w:space="2" w:color="4A306D"/>
        </w:pBdr>
      </w:pPr>
      <w:r>
        <w:rPr>
          <w:rFonts w:ascii="Cambria" w:hAnsi="Cambria"/>
          <w:b/>
          <w:color w:val="4A306D"/>
          <w:sz w:val="32"/>
        </w:rPr>
        <w:t>6. Staff credentials</w:t>
      </w:r>
    </w:p>
    <w:p>
      <w:r>
        <w:rPr>
          <w:b w:val="0"/>
          <w:i w:val="0"/>
        </w:rPr>
        <w:t>The credential census at season close shows all active credentials within validity. The department began building a central expiry tracker this fall; until it is live, expiry is tracked per site on paper. Nine guards let bloodborne-pathogens training lapse during the off-season - acceptable, since it is a 12-month credential renewed at spring training, but the tracker will flag it automatically once deployed.</w:t>
      </w:r>
    </w:p>
    <w:p>
      <w:pPr>
        <w:pStyle w:val="Heading1"/>
        <w:pBdr>
          <w:bottom w:val="single" w:sz="6" w:space="2" w:color="4A306D"/>
        </w:pBdr>
      </w:pPr>
      <w:r>
        <w:rPr>
          <w:rFonts w:ascii="Cambria" w:hAnsi="Cambria"/>
          <w:b/>
          <w:color w:val="4A306D"/>
          <w:sz w:val="32"/>
        </w:rPr>
        <w:t>7. Equipment and facilities</w:t>
      </w:r>
    </w:p>
    <w:p>
      <w:r>
        <w:rPr>
          <w:b w:val="0"/>
          <w:i w:val="0"/>
        </w:rPr>
        <w:t>The safety-equipment checklist ran daily at all sites. Two findings: the Corrigwell deep-area reaching pole was replaced in July after the crook cracked, and the Heron Landing ring-buoy rope was found frayed at a weekly check and replaced. Both were handled inside the system and are noted here only because the checklist caught them, which is what the checklist is for. Signage at Bluegill Point faded badly in the 2023 sun and is on the spring work order list.</w:t>
      </w:r>
    </w:p>
    <w:p>
      <w:pPr>
        <w:pStyle w:val="Heading1"/>
        <w:pBdr>
          <w:bottom w:val="single" w:sz="6" w:space="2" w:color="4A306D"/>
        </w:pBdr>
      </w:pPr>
      <w:r>
        <w:rPr>
          <w:rFonts w:ascii="Cambria" w:hAnsi="Cambria"/>
          <w:b/>
          <w:color w:val="4A306D"/>
          <w:sz w:val="32"/>
        </w:rPr>
        <w:t>8. Open items carried into 2024</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D9D9D9"/>
          </w:tcPr>
          <w:p>
            <w:r/>
            <w:r>
              <w:rPr>
                <w:b/>
              </w:rPr>
              <w:t>Item</w:t>
            </w:r>
          </w:p>
        </w:tc>
        <w:tc>
          <w:tcPr>
            <w:tcW w:type="dxa" w:w="4464"/>
            <w:shd w:val="clear" w:color="auto" w:fill="D9D9D9"/>
          </w:tcPr>
          <w:p>
            <w:r/>
            <w:r>
              <w:rPr>
                <w:b/>
              </w:rPr>
              <w:t>Description</w:t>
            </w:r>
          </w:p>
        </w:tc>
        <w:tc>
          <w:tcPr>
            <w:tcW w:type="dxa" w:w="2016"/>
            <w:shd w:val="clear" w:color="auto" w:fill="D9D9D9"/>
          </w:tcPr>
          <w:p>
            <w:r/>
            <w:r>
              <w:rPr>
                <w:b/>
              </w:rPr>
              <w:t>Owner</w:t>
            </w:r>
          </w:p>
        </w:tc>
        <w:tc>
          <w:tcPr>
            <w:tcW w:type="dxa" w:w="1440"/>
            <w:shd w:val="clear" w:color="auto" w:fill="D9D9D9"/>
          </w:tcPr>
          <w:p>
            <w:r/>
            <w:r>
              <w:rPr>
                <w:b/>
              </w:rPr>
              <w:t>Target</w:t>
            </w:r>
          </w:p>
        </w:tc>
      </w:tr>
      <w:tr>
        <w:tc>
          <w:tcPr>
            <w:tcW w:type="dxa" w:w="720"/>
          </w:tcPr>
          <w:p>
            <w:r/>
            <w:r>
              <w:t>1</w:t>
            </w:r>
          </w:p>
        </w:tc>
        <w:tc>
          <w:tcPr>
            <w:tcW w:type="dxa" w:w="4464"/>
          </w:tcPr>
          <w:p>
            <w:r/>
            <w:r>
              <w:t>Deploy the central credential expiry tracker to replace per-site paper tracking</w:t>
            </w:r>
          </w:p>
        </w:tc>
        <w:tc>
          <w:tcPr>
            <w:tcW w:type="dxa" w:w="2016"/>
          </w:tcPr>
          <w:p>
            <w:r/>
            <w:r>
              <w:t>R. Delgado</w:t>
            </w:r>
          </w:p>
        </w:tc>
        <w:tc>
          <w:tcPr>
            <w:tcW w:type="dxa" w:w="1440"/>
          </w:tcPr>
          <w:p>
            <w:r/>
            <w:r>
              <w:t>2024-03-31</w:t>
            </w:r>
          </w:p>
        </w:tc>
      </w:tr>
      <w:tr>
        <w:tc>
          <w:tcPr>
            <w:tcW w:type="dxa" w:w="720"/>
          </w:tcPr>
          <w:p>
            <w:r/>
            <w:r>
              <w:t>2</w:t>
            </w:r>
          </w:p>
        </w:tc>
        <w:tc>
          <w:tcPr>
            <w:tcW w:type="dxa" w:w="4464"/>
          </w:tcPr>
          <w:p>
            <w:r/>
            <w:r>
              <w:t>Require supervisor initials on every ratio-schedule block, no exceptions</w:t>
            </w:r>
          </w:p>
        </w:tc>
        <w:tc>
          <w:tcPr>
            <w:tcW w:type="dxa" w:w="2016"/>
          </w:tcPr>
          <w:p>
            <w:r/>
            <w:r>
              <w:t>Site directors</w:t>
            </w:r>
          </w:p>
        </w:tc>
        <w:tc>
          <w:tcPr>
            <w:tcW w:type="dxa" w:w="1440"/>
          </w:tcPr>
          <w:p>
            <w:r/>
            <w:r>
              <w:t>2024-06-10</w:t>
            </w:r>
          </w:p>
        </w:tc>
      </w:tr>
      <w:tr>
        <w:tc>
          <w:tcPr>
            <w:tcW w:type="dxa" w:w="720"/>
          </w:tcPr>
          <w:p>
            <w:r/>
            <w:r>
              <w:t>3</w:t>
            </w:r>
          </w:p>
        </w:tc>
        <w:tc>
          <w:tcPr>
            <w:tcW w:type="dxa" w:w="4464"/>
          </w:tcPr>
          <w:p>
            <w:r/>
            <w:r>
              <w:t>Replace faded depth and rules signage at Bluegill Point</w:t>
            </w:r>
          </w:p>
        </w:tc>
        <w:tc>
          <w:tcPr>
            <w:tcW w:type="dxa" w:w="2016"/>
          </w:tcPr>
          <w:p>
            <w:r/>
            <w:r>
              <w:t>Facilities</w:t>
            </w:r>
          </w:p>
        </w:tc>
        <w:tc>
          <w:tcPr>
            <w:tcW w:type="dxa" w:w="1440"/>
          </w:tcPr>
          <w:p>
            <w:r/>
            <w:r>
              <w:t>2024-05-31</w:t>
            </w:r>
          </w:p>
        </w:tc>
      </w:tr>
      <w:tr>
        <w:tc>
          <w:tcPr>
            <w:tcW w:type="dxa" w:w="720"/>
          </w:tcPr>
          <w:p>
            <w:r/>
            <w:r>
              <w:t>4</w:t>
            </w:r>
          </w:p>
        </w:tc>
        <w:tc>
          <w:tcPr>
            <w:tcW w:type="dxa" w:w="4464"/>
          </w:tcPr>
          <w:p>
            <w:r/>
            <w:r>
              <w:t>Add a second reach pole at the Corrigwell deep area</w:t>
            </w:r>
          </w:p>
        </w:tc>
        <w:tc>
          <w:tcPr>
            <w:tcW w:type="dxa" w:w="2016"/>
          </w:tcPr>
          <w:p>
            <w:r/>
            <w:r>
              <w:t>C. Yee</w:t>
            </w:r>
          </w:p>
        </w:tc>
        <w:tc>
          <w:tcPr>
            <w:tcW w:type="dxa" w:w="1440"/>
          </w:tcPr>
          <w:p>
            <w:r/>
            <w:r>
              <w:t>2024-06-15</w:t>
            </w:r>
          </w:p>
        </w:tc>
      </w:tr>
      <w:tr>
        <w:tc>
          <w:tcPr>
            <w:tcW w:type="dxa" w:w="720"/>
          </w:tcPr>
          <w:p>
            <w:r/>
            <w:r>
              <w:t>5</w:t>
            </w:r>
          </w:p>
        </w:tc>
        <w:tc>
          <w:tcPr>
            <w:tcW w:type="dxa" w:w="4464"/>
          </w:tcPr>
          <w:p>
            <w:r/>
            <w:r>
              <w:t>Fold retest-encouragement script into the swim test administration guide</w:t>
            </w:r>
          </w:p>
        </w:tc>
        <w:tc>
          <w:tcPr>
            <w:tcW w:type="dxa" w:w="2016"/>
          </w:tcPr>
          <w:p>
            <w:r/>
            <w:r>
              <w:t>R. Delgado</w:t>
            </w:r>
          </w:p>
        </w:tc>
        <w:tc>
          <w:tcPr>
            <w:tcW w:type="dxa" w:w="1440"/>
          </w:tcPr>
          <w:p>
            <w:r/>
            <w:r>
              <w:t>2024-04-30</w:t>
            </w:r>
          </w:p>
        </w:tc>
      </w:tr>
    </w:tbl>
    <w:p/>
    <w:p>
      <w:pPr>
        <w:pStyle w:val="Heading1"/>
        <w:pBdr>
          <w:bottom w:val="single" w:sz="6" w:space="2" w:color="4A306D"/>
        </w:pBdr>
      </w:pPr>
      <w:r>
        <w:rPr>
          <w:rFonts w:ascii="Cambria" w:hAnsi="Cambria"/>
          <w:b/>
          <w:color w:val="4A306D"/>
          <w:sz w:val="32"/>
        </w:rPr>
        <w:t>9. Sibling site notes</w:t>
      </w:r>
    </w:p>
    <w:p>
      <w:r>
        <w:rPr>
          <w:b w:val="0"/>
          <w:i w:val="0"/>
        </w:rPr>
        <w:t>Loon Hollow had its best-organized season since the day-camp expansion: the twice-daily testing change was absorbed without complaint and the site's logs are the cleanest of the six. Tamarack Ridge ran short one guard for a week in Session 2 after a resignation and covered it with the on-call bench without a ratio miss; the site director's mid-season report was candid about how close that came, and the department appreciates the candor. Bluegill Point's signage faded to the point of illegibility by early August - the one cosmetic embarrassment of the season, on the work order list for spring. Heron Landing's rotation sheets used initials without names in three blocks, corrected after a reminder that the schedule is a legal record. Otter Run ran a shortened Session 3 for a septic repair; waterfront operations were unaffected.</w:t>
      </w:r>
    </w:p>
    <w:p>
      <w:pPr>
        <w:pStyle w:val="Heading1"/>
        <w:pBdr>
          <w:bottom w:val="single" w:sz="6" w:space="2" w:color="4A306D"/>
        </w:pBdr>
      </w:pPr>
      <w:r>
        <w:rPr>
          <w:rFonts w:ascii="Cambria" w:hAnsi="Cambria"/>
          <w:b/>
          <w:color w:val="4A306D"/>
          <w:sz w:val="32"/>
        </w:rPr>
        <w:t>10. Staffing and training</w:t>
      </w:r>
    </w:p>
    <w:p>
      <w:r>
        <w:rPr>
          <w:b w:val="0"/>
          <w:i w:val="0"/>
        </w:rPr>
        <w:t>The 2023 aquatics roster peaked at 72 staff: 45 lifeguards, 14 swim instructors, 8 supervisors and directors, and 5 boating instructors. Spring courses at Corrigwell produced 18 new LG-WF credentials; the remainder of hiring came with credentials in hand. The all-sites June training at Corrigwell ran two full days and introduced the buddy-board reconciliation walk as a standard practice at every site. Guard attrition after Session 1 was 11%, slightly above the five-year average, concentrated at the day camps competing with municipal beach wages.</w:t>
      </w:r>
    </w:p>
    <w:p>
      <w:pPr>
        <w:pStyle w:val="Heading1"/>
        <w:pBdr>
          <w:bottom w:val="single" w:sz="6" w:space="2" w:color="4A306D"/>
        </w:pBdr>
      </w:pPr>
      <w:r>
        <w:rPr>
          <w:rFonts w:ascii="Cambria" w:hAnsi="Cambria"/>
          <w:b/>
          <w:color w:val="4A306D"/>
          <w:sz w:val="32"/>
        </w:rPr>
        <w:t>11. Weather and season shape</w:t>
      </w:r>
    </w:p>
    <w:p>
      <w:r>
        <w:rPr>
          <w:b w:val="0"/>
          <w:i w:val="0"/>
        </w:rPr>
        <w:t>The season was wetter than the prior two: nine waterfront closures of a half-day or more across the organization, all thunderstorm-driven, none longer than a day. Corrigwell's lake level ran high through Session 1, narrowing the beach but not the swim areas. Water temperatures reached the instructional-swim threshold (70 F) by June 20 at all sites, about a week later than 2022. No heat emergency days were declared.</w:t>
      </w:r>
    </w:p>
    <w:p>
      <w:pPr>
        <w:pStyle w:val="Heading1"/>
        <w:pBdr>
          <w:bottom w:val="single" w:sz="6" w:space="2" w:color="4A306D"/>
        </w:pBdr>
      </w:pPr>
      <w:r>
        <w:rPr>
          <w:rFonts w:ascii="Cambria" w:hAnsi="Cambria"/>
          <w:b/>
          <w:color w:val="4A306D"/>
          <w:sz w:val="32"/>
        </w:rPr>
        <w:t>12. Classification statistics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shd w:val="clear" w:color="auto" w:fill="D9D9D9"/>
          </w:tcPr>
          <w:p>
            <w:r/>
            <w:r>
              <w:rPr>
                <w:b/>
              </w:rPr>
              <w:t>Site</w:t>
            </w:r>
          </w:p>
        </w:tc>
        <w:tc>
          <w:tcPr>
            <w:tcW w:type="dxa" w:w="1728"/>
            <w:shd w:val="clear" w:color="auto" w:fill="D9D9D9"/>
          </w:tcPr>
          <w:p>
            <w:r/>
            <w:r>
              <w:rPr>
                <w:b/>
              </w:rPr>
              <w:t>Campers classified</w:t>
            </w:r>
          </w:p>
        </w:tc>
        <w:tc>
          <w:tcPr>
            <w:tcW w:type="dxa" w:w="1296"/>
            <w:shd w:val="clear" w:color="auto" w:fill="D9D9D9"/>
          </w:tcPr>
          <w:p>
            <w:r/>
            <w:r>
              <w:rPr>
                <w:b/>
              </w:rPr>
              <w:t>Nonswimmer</w:t>
            </w:r>
          </w:p>
        </w:tc>
        <w:tc>
          <w:tcPr>
            <w:tcW w:type="dxa" w:w="1296"/>
            <w:shd w:val="clear" w:color="auto" w:fill="D9D9D9"/>
          </w:tcPr>
          <w:p>
            <w:r/>
            <w:r>
              <w:rPr>
                <w:b/>
              </w:rPr>
              <w:t>Beginner</w:t>
            </w:r>
          </w:p>
        </w:tc>
        <w:tc>
          <w:tcPr>
            <w:tcW w:type="dxa" w:w="1152"/>
            <w:shd w:val="clear" w:color="auto" w:fill="D9D9D9"/>
          </w:tcPr>
          <w:p>
            <w:r/>
            <w:r>
              <w:rPr>
                <w:b/>
              </w:rPr>
              <w:t>Swimmer</w:t>
            </w:r>
          </w:p>
        </w:tc>
        <w:tc>
          <w:tcPr>
            <w:tcW w:type="dxa" w:w="1008"/>
            <w:shd w:val="clear" w:color="auto" w:fill="D9D9D9"/>
          </w:tcPr>
          <w:p>
            <w:r/>
            <w:r>
              <w:rPr>
                <w:b/>
              </w:rPr>
              <w:t>Retests</w:t>
            </w:r>
          </w:p>
        </w:tc>
      </w:tr>
      <w:tr>
        <w:tc>
          <w:tcPr>
            <w:tcW w:type="dxa" w:w="2160"/>
          </w:tcPr>
          <w:p>
            <w:r/>
            <w:r>
              <w:t>Corrigwell</w:t>
            </w:r>
          </w:p>
        </w:tc>
        <w:tc>
          <w:tcPr>
            <w:tcW w:type="dxa" w:w="1728"/>
          </w:tcPr>
          <w:p>
            <w:r/>
            <w:r>
              <w:t>795</w:t>
            </w:r>
          </w:p>
        </w:tc>
        <w:tc>
          <w:tcPr>
            <w:tcW w:type="dxa" w:w="1296"/>
          </w:tcPr>
          <w:p>
            <w:r/>
            <w:r>
              <w:t>20%</w:t>
            </w:r>
          </w:p>
        </w:tc>
        <w:tc>
          <w:tcPr>
            <w:tcW w:type="dxa" w:w="1296"/>
          </w:tcPr>
          <w:p>
            <w:r/>
            <w:r>
              <w:t>34%</w:t>
            </w:r>
          </w:p>
        </w:tc>
        <w:tc>
          <w:tcPr>
            <w:tcW w:type="dxa" w:w="1152"/>
          </w:tcPr>
          <w:p>
            <w:r/>
            <w:r>
              <w:t>46%</w:t>
            </w:r>
          </w:p>
        </w:tc>
        <w:tc>
          <w:tcPr>
            <w:tcW w:type="dxa" w:w="1008"/>
          </w:tcPr>
          <w:p>
            <w:r/>
            <w:r>
              <w:t>58</w:t>
            </w:r>
          </w:p>
        </w:tc>
      </w:tr>
      <w:tr>
        <w:tc>
          <w:tcPr>
            <w:tcW w:type="dxa" w:w="2160"/>
          </w:tcPr>
          <w:p>
            <w:r/>
            <w:r>
              <w:t>Loon Hollow</w:t>
            </w:r>
          </w:p>
        </w:tc>
        <w:tc>
          <w:tcPr>
            <w:tcW w:type="dxa" w:w="1728"/>
          </w:tcPr>
          <w:p>
            <w:r/>
            <w:r>
              <w:t>204</w:t>
            </w:r>
          </w:p>
        </w:tc>
        <w:tc>
          <w:tcPr>
            <w:tcW w:type="dxa" w:w="1296"/>
          </w:tcPr>
          <w:p>
            <w:r/>
            <w:r>
              <w:t>27%</w:t>
            </w:r>
          </w:p>
        </w:tc>
        <w:tc>
          <w:tcPr>
            <w:tcW w:type="dxa" w:w="1296"/>
          </w:tcPr>
          <w:p>
            <w:r/>
            <w:r>
              <w:t>38%</w:t>
            </w:r>
          </w:p>
        </w:tc>
        <w:tc>
          <w:tcPr>
            <w:tcW w:type="dxa" w:w="1152"/>
          </w:tcPr>
          <w:p>
            <w:r/>
            <w:r>
              <w:t>35%</w:t>
            </w:r>
          </w:p>
        </w:tc>
        <w:tc>
          <w:tcPr>
            <w:tcW w:type="dxa" w:w="1008"/>
          </w:tcPr>
          <w:p>
            <w:r/>
            <w:r>
              <w:t>17</w:t>
            </w:r>
          </w:p>
        </w:tc>
      </w:tr>
      <w:tr>
        <w:tc>
          <w:tcPr>
            <w:tcW w:type="dxa" w:w="2160"/>
          </w:tcPr>
          <w:p>
            <w:r/>
            <w:r>
              <w:t>Tamarack Ridge</w:t>
            </w:r>
          </w:p>
        </w:tc>
        <w:tc>
          <w:tcPr>
            <w:tcW w:type="dxa" w:w="1728"/>
          </w:tcPr>
          <w:p>
            <w:r/>
            <w:r>
              <w:t>312</w:t>
            </w:r>
          </w:p>
        </w:tc>
        <w:tc>
          <w:tcPr>
            <w:tcW w:type="dxa" w:w="1296"/>
          </w:tcPr>
          <w:p>
            <w:r/>
            <w:r>
              <w:t>22%</w:t>
            </w:r>
          </w:p>
        </w:tc>
        <w:tc>
          <w:tcPr>
            <w:tcW w:type="dxa" w:w="1296"/>
          </w:tcPr>
          <w:p>
            <w:r/>
            <w:r>
              <w:t>35%</w:t>
            </w:r>
          </w:p>
        </w:tc>
        <w:tc>
          <w:tcPr>
            <w:tcW w:type="dxa" w:w="1152"/>
          </w:tcPr>
          <w:p>
            <w:r/>
            <w:r>
              <w:t>43%</w:t>
            </w:r>
          </w:p>
        </w:tc>
        <w:tc>
          <w:tcPr>
            <w:tcW w:type="dxa" w:w="1008"/>
          </w:tcPr>
          <w:p>
            <w:r/>
            <w:r>
              <w:t>24</w:t>
            </w:r>
          </w:p>
        </w:tc>
      </w:tr>
      <w:tr>
        <w:tc>
          <w:tcPr>
            <w:tcW w:type="dxa" w:w="2160"/>
          </w:tcPr>
          <w:p>
            <w:r/>
            <w:r>
              <w:t>Bluegill Point</w:t>
            </w:r>
          </w:p>
        </w:tc>
        <w:tc>
          <w:tcPr>
            <w:tcW w:type="dxa" w:w="1728"/>
          </w:tcPr>
          <w:p>
            <w:r/>
            <w:r>
              <w:t>176</w:t>
            </w:r>
          </w:p>
        </w:tc>
        <w:tc>
          <w:tcPr>
            <w:tcW w:type="dxa" w:w="1296"/>
          </w:tcPr>
          <w:p>
            <w:r/>
            <w:r>
              <w:t>25%</w:t>
            </w:r>
          </w:p>
        </w:tc>
        <w:tc>
          <w:tcPr>
            <w:tcW w:type="dxa" w:w="1296"/>
          </w:tcPr>
          <w:p>
            <w:r/>
            <w:r>
              <w:t>36%</w:t>
            </w:r>
          </w:p>
        </w:tc>
        <w:tc>
          <w:tcPr>
            <w:tcW w:type="dxa" w:w="1152"/>
          </w:tcPr>
          <w:p>
            <w:r/>
            <w:r>
              <w:t>39%</w:t>
            </w:r>
          </w:p>
        </w:tc>
        <w:tc>
          <w:tcPr>
            <w:tcW w:type="dxa" w:w="1008"/>
          </w:tcPr>
          <w:p>
            <w:r/>
            <w:r>
              <w:t>12</w:t>
            </w:r>
          </w:p>
        </w:tc>
      </w:tr>
      <w:tr>
        <w:tc>
          <w:tcPr>
            <w:tcW w:type="dxa" w:w="2160"/>
          </w:tcPr>
          <w:p>
            <w:r/>
            <w:r>
              <w:t>Heron Landing</w:t>
            </w:r>
          </w:p>
        </w:tc>
        <w:tc>
          <w:tcPr>
            <w:tcW w:type="dxa" w:w="1728"/>
          </w:tcPr>
          <w:p>
            <w:r/>
            <w:r>
              <w:t>268</w:t>
            </w:r>
          </w:p>
        </w:tc>
        <w:tc>
          <w:tcPr>
            <w:tcW w:type="dxa" w:w="1296"/>
          </w:tcPr>
          <w:p>
            <w:r/>
            <w:r>
              <w:t>21%</w:t>
            </w:r>
          </w:p>
        </w:tc>
        <w:tc>
          <w:tcPr>
            <w:tcW w:type="dxa" w:w="1296"/>
          </w:tcPr>
          <w:p>
            <w:r/>
            <w:r>
              <w:t>33%</w:t>
            </w:r>
          </w:p>
        </w:tc>
        <w:tc>
          <w:tcPr>
            <w:tcW w:type="dxa" w:w="1152"/>
          </w:tcPr>
          <w:p>
            <w:r/>
            <w:r>
              <w:t>46%</w:t>
            </w:r>
          </w:p>
        </w:tc>
        <w:tc>
          <w:tcPr>
            <w:tcW w:type="dxa" w:w="1008"/>
          </w:tcPr>
          <w:p>
            <w:r/>
            <w:r>
              <w:t>19</w:t>
            </w:r>
          </w:p>
        </w:tc>
      </w:tr>
      <w:tr>
        <w:tc>
          <w:tcPr>
            <w:tcW w:type="dxa" w:w="2160"/>
          </w:tcPr>
          <w:p>
            <w:r/>
            <w:r>
              <w:t>Otter Run</w:t>
            </w:r>
          </w:p>
        </w:tc>
        <w:tc>
          <w:tcPr>
            <w:tcW w:type="dxa" w:w="1728"/>
          </w:tcPr>
          <w:p>
            <w:r/>
            <w:r>
              <w:t>144</w:t>
            </w:r>
          </w:p>
        </w:tc>
        <w:tc>
          <w:tcPr>
            <w:tcW w:type="dxa" w:w="1296"/>
          </w:tcPr>
          <w:p>
            <w:r/>
            <w:r>
              <w:t>28%</w:t>
            </w:r>
          </w:p>
        </w:tc>
        <w:tc>
          <w:tcPr>
            <w:tcW w:type="dxa" w:w="1296"/>
          </w:tcPr>
          <w:p>
            <w:r/>
            <w:r>
              <w:t>34%</w:t>
            </w:r>
          </w:p>
        </w:tc>
        <w:tc>
          <w:tcPr>
            <w:tcW w:type="dxa" w:w="1152"/>
          </w:tcPr>
          <w:p>
            <w:r/>
            <w:r>
              <w:t>38%</w:t>
            </w:r>
          </w:p>
        </w:tc>
        <w:tc>
          <w:tcPr>
            <w:tcW w:type="dxa" w:w="1008"/>
          </w:tcPr>
          <w:p>
            <w:r/>
            <w:r>
              <w:t>9</w:t>
            </w:r>
          </w:p>
        </w:tc>
      </w:tr>
    </w:tbl>
    <w:p/>
    <w:p>
      <w:r>
        <w:rPr>
          <w:b w:val="0"/>
          <w:i w:val="0"/>
        </w:rPr>
        <w:t>The day-camp nonswimmer share runs higher than the residential sites, as expected: younger campers and first-season campers concentrate at the day camps. The department watches the swimmer share at the residential sites as a proxy for instructional effectiveness; 46% at Corrigwell is the strongest since 2019.</w:t>
      </w:r>
    </w:p>
    <w:p>
      <w:pPr>
        <w:pStyle w:val="Heading1"/>
        <w:pBdr>
          <w:bottom w:val="single" w:sz="6" w:space="2" w:color="4A306D"/>
        </w:pBdr>
      </w:pPr>
      <w:r>
        <w:rPr>
          <w:rFonts w:ascii="Cambria" w:hAnsi="Cambria"/>
          <w:b/>
          <w:color w:val="4A306D"/>
          <w:sz w:val="32"/>
        </w:rPr>
        <w:t>13. Budget and resources</w:t>
      </w:r>
    </w:p>
    <w:p>
      <w:r>
        <w:rPr>
          <w:b w:val="0"/>
          <w:i w:val="0"/>
        </w:rPr>
        <w:t>The department spent $8,400 of an $8,800 safety-equipment budget, the large items being the Corrigwell deep-area reaching pole and two rescue-board replacements. Certification course costs ran $26,900. The central expiry tracker project was approved at $6,200 in contractor time for build during the off-season; the department regards this as the season's most important non-operational expenditure and expects it to retire the per-site paper tracking that produced the only recordkeeping findings of the year. No other capital requests are carried into 2024.</w:t>
      </w:r>
    </w:p>
    <w:p>
      <w:r>
        <w:rPr>
          <w:b w:val="0"/>
          <w:i w:val="0"/>
        </w:rPr>
        <w:t>A note on what the budget does not show: the largest safety investment of the season was unbudgeted time - the two full days of all-sites training in June and the twice-daily testing cadence the day camps absorbed. Neither appears in the equipment lines, and both are load-bearing. The department will say in next year's request what it said this year: the line items are the floor of the program, not the program.</w:t>
      </w:r>
    </w:p>
    <w:p>
      <w:pPr>
        <w:pStyle w:val="Heading1"/>
        <w:pBdr>
          <w:bottom w:val="single" w:sz="6" w:space="2" w:color="4A306D"/>
        </w:pBdr>
      </w:pPr>
      <w:r>
        <w:rPr>
          <w:rFonts w:ascii="Cambria" w:hAnsi="Cambria"/>
          <w:b/>
          <w:color w:val="4A306D"/>
          <w:sz w:val="32"/>
        </w:rPr>
        <w:t>14. Looking to 2024</w:t>
      </w:r>
    </w:p>
    <w:p>
      <w:r>
        <w:rPr>
          <w:b w:val="0"/>
          <w:i w:val="0"/>
        </w:rPr>
        <w:t>The 2024 season opens June 24. Priorities, in order: deploy the expiry tracker before staff week; hold the retest-encouragement gains at the beginner band; complete the signage replacement at Bluegill Point before opening day; and keep the rotation-sheet initials discipline at every site, every block. The department's standing worry remains the day-camp recruiting pool, where the municipal beaches set the wage; the completion-bonus proposal is with the Executive Director. None of these are exotic ambitions, and that is the point: the program's risks are mundane, and mundane risks are managed by mundane discipline applied every day of the season.</w:t>
      </w:r>
    </w:p>
    <w:p>
      <w:pPr>
        <w:pStyle w:val="Heading1"/>
        <w:pBdr>
          <w:bottom w:val="single" w:sz="6" w:space="2" w:color="4A306D"/>
        </w:pBdr>
      </w:pPr>
      <w:r>
        <w:rPr>
          <w:rFonts w:ascii="Cambria" w:hAnsi="Cambria"/>
          <w:b/>
          <w:color w:val="4A306D"/>
          <w:sz w:val="32"/>
        </w:rPr>
        <w:t>15. Closing</w:t>
      </w:r>
    </w:p>
    <w:p>
      <w:r>
        <w:rPr>
          <w:b w:val="0"/>
          <w:i w:val="0"/>
        </w:rPr>
        <w:t>2023 was a clean season at all six sites. The department's attention in 2024 goes to the expiry tracker, signage, and rotation-sheet discipline. The season's quiet lesson is that the systems worked because people worked them: tests on day one, counts every fifteen minutes, logs written the same day. The review's job is to make next season's working a little easier and a little more reliable - not to admire this one.</w:t>
      </w:r>
    </w:p>
    <w:p/>
    <w:p>
      <w:r>
        <w:rPr>
          <w:b w:val="0"/>
          <w:i w:val="0"/>
        </w:rPr>
        <w:t>Raquel I. Delgado, Director of Aquatics Standards        2023-11-17</w:t>
      </w:r>
    </w:p>
    <w:p>
      <w:r>
        <w:rPr>
          <w:b w:val="0"/>
          <w:i w:val="0"/>
        </w:rPr>
        <w:t>Reviewed by: Harold J. Brennan, Executive Director        2023-11-28</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8"/>
      </w:rPr>
      <w:t xml:space="preserve">Page </w:t>
    </w:r>
    <w:r>
      <w:rPr>
        <w:rFonts w:ascii="Cambria" w:hAnsi="Cambria"/>
        <w:sz w:val="18"/>
      </w:rPr>
      <w:fldChar w:fldCharType="begin"/>
      <w:instrText xml:space="preserve">PAGE</w:instrText>
      <w:fldChar w:fldCharType="end"/>
    </w:r>
    <w:r>
      <w:rPr>
        <w:rFonts w:ascii="Cambria" w:hAnsi="Cambria"/>
        <w:sz w:val="18"/>
      </w:rPr>
      <w:t xml:space="preserve"> of </w:t>
    </w:r>
    <w:r>
      <w:rPr>
        <w:rFonts w:ascii="Cambria" w:hAnsi="Cambria"/>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s="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bCs/>
      <w:color w:val="4A30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4A30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P. Yee</dc:creator>
  <cp:keywords/>
  <dc:description>generated by python-docx</dc:description>
  <cp:lastModifiedBy/>
  <cp:revision>1</cp:revision>
  <dcterms:created xsi:type="dcterms:W3CDTF">2022-12-23T12:14:47Z</dcterms:created>
  <dcterms:modified xsi:type="dcterms:W3CDTF">2023-06-17T12:14:47Z</dcterms:modified>
  <cp:category/>
</cp:coreProperties>
</file>