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F6B6B"/>
        <w:spacing w:before="200" w:after="120"/>
      </w:pPr>
      <w:r>
        <w:rPr>
          <w:rFonts w:ascii="Palatino Linotype" w:hAnsi="Palatino Linotype"/>
          <w:b/>
          <w:color w:val="FFFFFF"/>
          <w:sz w:val="28"/>
        </w:rPr>
        <w:t>Six-Site Credential Sweep Report (WF4)</w:t>
      </w:r>
    </w:p>
    <w:p>
      <w:r>
        <w:rPr>
          <w:b w:val="0"/>
          <w:i/>
        </w:rPr>
        <w:t>KVL Camps - Corporate Risk and Compliance - August 2026</w:t>
      </w:r>
    </w:p>
    <w:tbl>
      <w:tblPr>
        <w:tblStyle w:val="TableGrid"/>
        <w:tblW w:type="auto" w:w="0"/>
        <w:jc w:val="left"/>
        <w:tblLook w:firstColumn="1" w:firstRow="1" w:lastColumn="0" w:lastRow="0" w:noHBand="0" w:noVBand="1" w:val="04A0"/>
      </w:tblPr>
      <w:tblGrid>
        <w:gridCol w:w="4680"/>
        <w:gridCol w:w="4680"/>
      </w:tblGrid>
      <w:tr>
        <w:tc>
          <w:tcPr>
            <w:tcW w:type="dxa" w:w="3168"/>
          </w:tcPr>
          <w:p>
            <w:r/>
            <w:r>
              <w:rPr>
                <w:b/>
              </w:rPr>
              <w:t>Workstream</w:t>
            </w:r>
          </w:p>
        </w:tc>
        <w:tc>
          <w:tcPr>
            <w:tcW w:type="dxa" w:w="6192"/>
          </w:tcPr>
          <w:p>
            <w:r/>
            <w:r>
              <w:t>WF4 (six-site sweep)</w:t>
            </w:r>
          </w:p>
        </w:tc>
      </w:tr>
      <w:tr>
        <w:tc>
          <w:tcPr>
            <w:tcW w:type="dxa" w:w="3168"/>
          </w:tcPr>
          <w:p>
            <w:r/>
            <w:r>
              <w:rPr>
                <w:b/>
              </w:rPr>
              <w:t>Prepared by</w:t>
            </w:r>
          </w:p>
        </w:tc>
        <w:tc>
          <w:tcPr>
            <w:tcW w:type="dxa" w:w="6192"/>
          </w:tcPr>
          <w:p>
            <w:r/>
            <w:r>
              <w:t>Priya Natarajan, Director of Risk and Compliance</w:t>
            </w:r>
          </w:p>
        </w:tc>
      </w:tr>
      <w:tr>
        <w:tc>
          <w:tcPr>
            <w:tcW w:type="dxa" w:w="3168"/>
          </w:tcPr>
          <w:p>
            <w:r/>
            <w:r>
              <w:rPr>
                <w:b/>
              </w:rPr>
              <w:t>Date</w:t>
            </w:r>
          </w:p>
        </w:tc>
        <w:tc>
          <w:tcPr>
            <w:tcW w:type="dxa" w:w="6192"/>
          </w:tcPr>
          <w:p>
            <w:r/>
            <w:r>
              <w:t>08/07/2026</w:t>
            </w:r>
          </w:p>
        </w:tc>
      </w:tr>
      <w:tr>
        <w:tc>
          <w:tcPr>
            <w:tcW w:type="dxa" w:w="3168"/>
          </w:tcPr>
          <w:p>
            <w:r/>
            <w:r>
              <w:rPr>
                <w:b/>
              </w:rPr>
              <w:t>Trigger</w:t>
            </w:r>
          </w:p>
        </w:tc>
        <w:tc>
          <w:tcPr>
            <w:tcW w:type="dxa" w:w="6192"/>
          </w:tcPr>
          <w:p>
            <w:r/>
            <w:r>
              <w:t>Case No. BYC-FND-2026-0147 (Corrigwell finding)</w:t>
            </w:r>
          </w:p>
        </w:tc>
      </w:tr>
      <w:tr>
        <w:tc>
          <w:tcPr>
            <w:tcW w:type="dxa" w:w="3168"/>
          </w:tcPr>
          <w:p>
            <w:r/>
            <w:r>
              <w:rPr>
                <w:b/>
              </w:rPr>
              <w:t>Sites</w:t>
            </w:r>
          </w:p>
        </w:tc>
        <w:tc>
          <w:tcPr>
            <w:tcW w:type="dxa" w:w="6192"/>
          </w:tcPr>
          <w:p>
            <w:r/>
            <w:r>
              <w:t>Corrigwell, Loon Hollow, Tamarack Ridge, Bluegill Point, Heron Landing, Otter Run</w:t>
            </w:r>
          </w:p>
        </w:tc>
      </w:tr>
    </w:tbl>
    <w:p/>
    <w:p>
      <w:pPr>
        <w:shd w:val="clear" w:color="auto" w:fill="0F6B6B"/>
        <w:spacing w:before="200" w:after="120"/>
      </w:pPr>
      <w:r>
        <w:rPr>
          <w:rFonts w:ascii="Palatino Linotype" w:hAnsi="Palatino Linotype"/>
          <w:b/>
          <w:color w:val="FFFFFF"/>
          <w:sz w:val="28"/>
        </w:rPr>
        <w:t>1. Purpose and method</w:t>
      </w:r>
    </w:p>
    <w:p>
      <w:r>
        <w:rPr>
          <w:b w:val="0"/>
          <w:i w:val="0"/>
        </w:rPr>
        <w:t>After the Corrigwell finding, the Executive Director directed a sweep of all six KVL Camps sites to determine whether the same authorization pattern - swim-ability assessment sign-off resting on a supervisor-track credential - exists anywhere else in the organization. The sweep compared, site by site, the name and credential on each site's current swim-classification roster signature block against the credential codes the authorization matrix lists as assessment-authorized (WSI, LGI, LG-WF). The sweep did not re-run assessments, review water quality, or re-inspect facilities; it answered one question per site: is the signer of record assessment-authorized under the matrix?</w:t>
      </w:r>
    </w:p>
    <w:p>
      <w:r>
        <w:rPr>
          <w:b w:val="0"/>
          <w:i w:val="0"/>
        </w:rPr>
        <w:t>The 2026 risk budget funded full re-examination at two sites. Sites beyond the funded two were not examined at all, and this report is careful to record that as an absence of examination - never-examined - rather than as either a clearance or a finding. The distinction matters for the license renewal file and for the underwriting narrative: a never-examined status is not evidence of a problem, and it is not evidence of compliance. It is a gap in knowledge, scheduled for the 2027 pre-season subject to the fall budget amendment.</w:t>
      </w:r>
    </w:p>
    <w:p>
      <w:pPr>
        <w:shd w:val="clear" w:color="auto" w:fill="0F6B6B"/>
        <w:spacing w:before="200" w:after="120"/>
      </w:pPr>
      <w:r>
        <w:rPr>
          <w:rFonts w:ascii="Palatino Linotype" w:hAnsi="Palatino Linotype"/>
          <w:b/>
          <w:color w:val="FFFFFF"/>
          <w:sz w:val="28"/>
        </w:rPr>
        <w:t>2. Site-by-site results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shd w:val="clear" w:color="auto" w:fill="D9D9D9"/>
          </w:tcPr>
          <w:p>
            <w:r/>
            <w:r>
              <w:rPr>
                <w:b/>
              </w:rPr>
              <w:t>Site</w:t>
            </w:r>
          </w:p>
        </w:tc>
        <w:tc>
          <w:tcPr>
            <w:tcW w:type="dxa" w:w="1440"/>
            <w:shd w:val="clear" w:color="auto" w:fill="D9D9D9"/>
          </w:tcPr>
          <w:p>
            <w:r/>
            <w:r>
              <w:rPr>
                <w:b/>
              </w:rPr>
              <w:t>Type</w:t>
            </w:r>
          </w:p>
        </w:tc>
        <w:tc>
          <w:tcPr>
            <w:tcW w:type="dxa" w:w="2160"/>
            <w:shd w:val="clear" w:color="auto" w:fill="D9D9D9"/>
          </w:tcPr>
          <w:p>
            <w:r/>
            <w:r>
              <w:rPr>
                <w:b/>
              </w:rPr>
              <w:t>Signer of record (2026 roster)</w:t>
            </w:r>
          </w:p>
        </w:tc>
        <w:tc>
          <w:tcPr>
            <w:tcW w:type="dxa" w:w="1728"/>
            <w:shd w:val="clear" w:color="auto" w:fill="D9D9D9"/>
          </w:tcPr>
          <w:p>
            <w:r/>
            <w:r>
              <w:rPr>
                <w:b/>
              </w:rPr>
              <w:t>Signer credential</w:t>
            </w:r>
          </w:p>
        </w:tc>
        <w:tc>
          <w:tcPr>
            <w:tcW w:type="dxa" w:w="2304"/>
            <w:shd w:val="clear" w:color="auto" w:fill="D9D9D9"/>
          </w:tcPr>
          <w:p>
            <w:r/>
            <w:r>
              <w:rPr>
                <w:b/>
              </w:rPr>
              <w:t>Sweep status</w:t>
            </w:r>
          </w:p>
        </w:tc>
      </w:tr>
      <w:tr>
        <w:tc>
          <w:tcPr>
            <w:tcW w:type="dxa" w:w="1728"/>
          </w:tcPr>
          <w:p>
            <w:r/>
            <w:r>
              <w:t>Corrigwell</w:t>
            </w:r>
          </w:p>
        </w:tc>
        <w:tc>
          <w:tcPr>
            <w:tcW w:type="dxa" w:w="1440"/>
          </w:tcPr>
          <w:p>
            <w:r/>
            <w:r>
              <w:t>Residential</w:t>
            </w:r>
          </w:p>
        </w:tc>
        <w:tc>
          <w:tcPr>
            <w:tcW w:type="dxa" w:w="2160"/>
          </w:tcPr>
          <w:p>
            <w:r/>
            <w:r>
              <w:t>Martin T. Eberly, Aquatics Supervisor</w:t>
            </w:r>
          </w:p>
        </w:tc>
        <w:tc>
          <w:tcPr>
            <w:tcW w:type="dxa" w:w="1728"/>
          </w:tcPr>
          <w:p>
            <w:r/>
            <w:r>
              <w:t>AQS (supervisor-track), current to 03/18/2028</w:t>
            </w:r>
          </w:p>
        </w:tc>
        <w:tc>
          <w:tcPr>
            <w:tcW w:type="dxa" w:w="2304"/>
          </w:tcPr>
          <w:p>
            <w:r/>
            <w:r>
              <w:t>unauthorized-and-examined</w:t>
            </w:r>
          </w:p>
        </w:tc>
      </w:tr>
      <w:tr>
        <w:tc>
          <w:tcPr>
            <w:tcW w:type="dxa" w:w="1728"/>
          </w:tcPr>
          <w:p>
            <w:r/>
            <w:r>
              <w:t>Loon Hollow</w:t>
            </w:r>
          </w:p>
        </w:tc>
        <w:tc>
          <w:tcPr>
            <w:tcW w:type="dxa" w:w="1440"/>
          </w:tcPr>
          <w:p>
            <w:r/>
            <w:r>
              <w:t>Day</w:t>
            </w:r>
          </w:p>
        </w:tc>
        <w:tc>
          <w:tcPr>
            <w:tcW w:type="dxa" w:w="2160"/>
          </w:tcPr>
          <w:p>
            <w:r/>
            <w:r>
              <w:t>Dana Kessler, Waterfront Director</w:t>
            </w:r>
          </w:p>
        </w:tc>
        <w:tc>
          <w:tcPr>
            <w:tcW w:type="dxa" w:w="1728"/>
          </w:tcPr>
          <w:p>
            <w:r/>
            <w:r>
              <w:t>WSI, current</w:t>
            </w:r>
          </w:p>
        </w:tc>
        <w:tc>
          <w:tcPr>
            <w:tcW w:type="dxa" w:w="2304"/>
          </w:tcPr>
          <w:p>
            <w:r/>
            <w:r>
              <w:t>cleared</w:t>
            </w:r>
          </w:p>
        </w:tc>
      </w:tr>
      <w:tr>
        <w:tc>
          <w:tcPr>
            <w:tcW w:type="dxa" w:w="1728"/>
          </w:tcPr>
          <w:p>
            <w:r/>
            <w:r>
              <w:t>Tamarack Ridge</w:t>
            </w:r>
          </w:p>
        </w:tc>
        <w:tc>
          <w:tcPr>
            <w:tcW w:type="dxa" w:w="1440"/>
          </w:tcPr>
          <w:p>
            <w:r/>
            <w:r>
              <w:t>Residential</w:t>
            </w:r>
          </w:p>
        </w:tc>
        <w:tc>
          <w:tcPr>
            <w:tcW w:type="dxa" w:w="2160"/>
          </w:tcPr>
          <w:p>
            <w:r/>
            <w:r>
              <w:t>Rob Tiernan, Waterfront Director</w:t>
            </w:r>
          </w:p>
        </w:tc>
        <w:tc>
          <w:tcPr>
            <w:tcW w:type="dxa" w:w="1728"/>
          </w:tcPr>
          <w:p>
            <w:r/>
            <w:r>
              <w:t>WSI (per staffing file)</w:t>
            </w:r>
          </w:p>
        </w:tc>
        <w:tc>
          <w:tcPr>
            <w:tcW w:type="dxa" w:w="2304"/>
          </w:tcPr>
          <w:p>
            <w:r/>
            <w:r>
              <w:t>never-examined</w:t>
            </w:r>
          </w:p>
        </w:tc>
      </w:tr>
      <w:tr>
        <w:tc>
          <w:tcPr>
            <w:tcW w:type="dxa" w:w="1728"/>
          </w:tcPr>
          <w:p>
            <w:r/>
            <w:r>
              <w:t>Bluegill Point</w:t>
            </w:r>
          </w:p>
        </w:tc>
        <w:tc>
          <w:tcPr>
            <w:tcW w:type="dxa" w:w="1440"/>
          </w:tcPr>
          <w:p>
            <w:r/>
            <w:r>
              <w:t>Day</w:t>
            </w:r>
          </w:p>
        </w:tc>
        <w:tc>
          <w:tcPr>
            <w:tcW w:type="dxa" w:w="2160"/>
          </w:tcPr>
          <w:p>
            <w:r/>
            <w:r>
              <w:t>Alicia Mora, Waterfront Director</w:t>
            </w:r>
          </w:p>
        </w:tc>
        <w:tc>
          <w:tcPr>
            <w:tcW w:type="dxa" w:w="1728"/>
          </w:tcPr>
          <w:p>
            <w:r/>
            <w:r>
              <w:t>LG-WF/WSI (per staffing file)</w:t>
            </w:r>
          </w:p>
        </w:tc>
        <w:tc>
          <w:tcPr>
            <w:tcW w:type="dxa" w:w="2304"/>
          </w:tcPr>
          <w:p>
            <w:r/>
            <w:r>
              <w:t>never-examined</w:t>
            </w:r>
          </w:p>
        </w:tc>
      </w:tr>
      <w:tr>
        <w:tc>
          <w:tcPr>
            <w:tcW w:type="dxa" w:w="1728"/>
          </w:tcPr>
          <w:p>
            <w:r/>
            <w:r>
              <w:t>Heron Landing</w:t>
            </w:r>
          </w:p>
        </w:tc>
        <w:tc>
          <w:tcPr>
            <w:tcW w:type="dxa" w:w="1440"/>
          </w:tcPr>
          <w:p>
            <w:r/>
            <w:r>
              <w:t>Residential</w:t>
            </w:r>
          </w:p>
        </w:tc>
        <w:tc>
          <w:tcPr>
            <w:tcW w:type="dxa" w:w="2160"/>
          </w:tcPr>
          <w:p>
            <w:r/>
            <w:r>
              <w:t>Sam Treadwell, Waterfront Director</w:t>
            </w:r>
          </w:p>
        </w:tc>
        <w:tc>
          <w:tcPr>
            <w:tcW w:type="dxa" w:w="1728"/>
          </w:tcPr>
          <w:p>
            <w:r/>
            <w:r>
              <w:t>LGI (per staffing file)</w:t>
            </w:r>
          </w:p>
        </w:tc>
        <w:tc>
          <w:tcPr>
            <w:tcW w:type="dxa" w:w="2304"/>
          </w:tcPr>
          <w:p>
            <w:r/>
            <w:r>
              <w:t>never-examined</w:t>
            </w:r>
          </w:p>
        </w:tc>
      </w:tr>
      <w:tr>
        <w:tc>
          <w:tcPr>
            <w:tcW w:type="dxa" w:w="1728"/>
          </w:tcPr>
          <w:p>
            <w:r/>
            <w:r>
              <w:t>Otter Run</w:t>
            </w:r>
          </w:p>
        </w:tc>
        <w:tc>
          <w:tcPr>
            <w:tcW w:type="dxa" w:w="1440"/>
          </w:tcPr>
          <w:p>
            <w:r/>
            <w:r>
              <w:t>Day</w:t>
            </w:r>
          </w:p>
        </w:tc>
        <w:tc>
          <w:tcPr>
            <w:tcW w:type="dxa" w:w="2160"/>
          </w:tcPr>
          <w:p>
            <w:r/>
            <w:r>
              <w:t>Kim Ostrander, Waterfront Director</w:t>
            </w:r>
          </w:p>
        </w:tc>
        <w:tc>
          <w:tcPr>
            <w:tcW w:type="dxa" w:w="1728"/>
          </w:tcPr>
          <w:p>
            <w:r/>
            <w:r>
              <w:t>WSI (per staffing file)</w:t>
            </w:r>
          </w:p>
        </w:tc>
        <w:tc>
          <w:tcPr>
            <w:tcW w:type="dxa" w:w="2304"/>
          </w:tcPr>
          <w:p>
            <w:r/>
            <w:r>
              <w:t>never-examined</w:t>
            </w:r>
          </w:p>
        </w:tc>
      </w:tr>
    </w:tbl>
    <w:p/>
    <w:p>
      <w:pPr>
        <w:shd w:val="clear" w:color="auto" w:fill="0F6B6B"/>
        <w:spacing w:before="200" w:after="120"/>
      </w:pPr>
      <w:r>
        <w:rPr>
          <w:rFonts w:ascii="Palatino Linotype" w:hAnsi="Palatino Linotype"/>
          <w:b/>
          <w:color w:val="FFFFFF"/>
          <w:sz w:val="28"/>
        </w:rPr>
        <w:t>3. Corrigwell (unauthorized-and-examined)</w:t>
      </w:r>
    </w:p>
    <w:p>
      <w:r>
        <w:rPr>
          <w:b w:val="0"/>
          <w:i w:val="0"/>
        </w:rPr>
        <w:t>Corrigwell is the examined site and the site of the finding. The 2026 roster signature block shows Martin T. Eberly, Aquatics Supervisor, certifying swim-ability assessments under an AQS supervisor-track credential. The credential itself is current. The matrix does not extend swim-ability assessment authority to the supervisor track. Re-assessment of the 2026 population by authorized assessors is underway under CAP-2026-01 and is scheduled to complete before the end of Session 2, with Session 3 assessments administered by authorized staff from the outset.</w:t>
      </w:r>
    </w:p>
    <w:p>
      <w:pPr>
        <w:shd w:val="clear" w:color="auto" w:fill="0F6B6B"/>
        <w:spacing w:before="200" w:after="120"/>
      </w:pPr>
      <w:r>
        <w:rPr>
          <w:rFonts w:ascii="Palatino Linotype" w:hAnsi="Palatino Linotype"/>
          <w:b/>
          <w:color w:val="FFFFFF"/>
          <w:sz w:val="28"/>
        </w:rPr>
        <w:t>4. Loon Hollow (cleared)</w:t>
      </w:r>
    </w:p>
    <w:p>
      <w:r>
        <w:rPr>
          <w:b w:val="0"/>
          <w:i w:val="0"/>
        </w:rPr>
        <w:t>Loon Hollow, the organization's largest day camp, was the second funded examination. Its 2026 swim-classification roster is signed by Dana Kessler, Waterfront Director, holding a Water Safety Instructor credential issued by the American Red Cross and current through 2027. The matrix lists WSI as assessment-authorized. No further action is required at Loon Hollow, and the site is recorded as cleared for the 2026 season.</w:t>
      </w:r>
    </w:p>
    <w:p>
      <w:pPr>
        <w:shd w:val="clear" w:color="auto" w:fill="0F6B6B"/>
        <w:spacing w:before="200" w:after="120"/>
      </w:pPr>
      <w:r>
        <w:rPr>
          <w:rFonts w:ascii="Palatino Linotype" w:hAnsi="Palatino Linotype"/>
          <w:b/>
          <w:color w:val="FFFFFF"/>
          <w:sz w:val="28"/>
        </w:rPr>
        <w:t>5. Tamarack Ridge, Bluegill Point, Heron Landing, Otter Run (never-examined)</w:t>
      </w:r>
    </w:p>
    <w:p>
      <w:r>
        <w:rPr>
          <w:b w:val="0"/>
          <w:i w:val="0"/>
        </w:rPr>
        <w:t>Budget constraints limit simultaneous re-examination of all six sites, so these four sites remain never-examined for 2026. Their roster signature blocks and certification records were not pulled for comparison against the matrix, and nothing in this report should be read as a conclusion about them in either direction. Staffing files indicate each site is led by a waterfront director holding instructor-track or waterfront-skills credentials, but indication is not examination. All four are scheduled for the 2027 pre-season sweep, and each site director received the authorization-matrix training required by CAP-2026-01 Action 4 so that a self-check against the matrix is performed locally before the 2027 season opens.</w:t>
      </w:r>
    </w:p>
    <w:p>
      <w:pPr>
        <w:shd w:val="clear" w:color="auto" w:fill="0F6B6B"/>
        <w:spacing w:before="200" w:after="120"/>
      </w:pPr>
      <w:r>
        <w:rPr>
          <w:rFonts w:ascii="Palatino Linotype" w:hAnsi="Palatino Linotype"/>
          <w:b/>
          <w:color w:val="FFFFFF"/>
          <w:sz w:val="28"/>
        </w:rPr>
        <w:t>6. Site context for the deferred examinations</w:t>
      </w:r>
    </w:p>
    <w:p>
      <w:r>
        <w:rPr>
          <w:b w:val="0"/>
          <w:i w:val="0"/>
        </w:rPr>
        <w:t>Tamarack Ridge is the second-largest site, a residential camp of roughly 320 campers per season with a single swim area and no deep-water entry; its waterfront director, Rob Tiernan, has held the post since 2021 and his staffing file shows a Water Safety Instructor credential. Bluegill Point is a day camp of roughly 180 campers; its director, Alicia Mora, holds waterfront-skills and instructor credentials per her file. Heron Landing is a residential camp of roughly 280 campers under Sam Treadwell, whose file shows a Lifeguarding Instructor credential. Otter Run is the smallest site, a day camp of roughly 150 campers under Kim Ostrander, whose file shows a Water Safety Instructor credential. None of these files was examined for this report; the descriptions above come from the staffing roster and are context, not conclusions. The 2027 pre-season sweep will examine all four, in enrollment order, before any 2027 roster is signed.</w:t>
      </w:r>
    </w:p>
    <w:p>
      <w:pPr>
        <w:shd w:val="clear" w:color="auto" w:fill="0F6B6B"/>
        <w:spacing w:before="200" w:after="120"/>
      </w:pPr>
      <w:r>
        <w:rPr>
          <w:rFonts w:ascii="Palatino Linotype" w:hAnsi="Palatino Linotype"/>
          <w:b/>
          <w:color w:val="FFFFFF"/>
          <w:sz w:val="28"/>
        </w:rPr>
        <w:t>7. Method detail</w:t>
      </w:r>
    </w:p>
    <w:p>
      <w:r>
        <w:rPr>
          <w:b w:val="0"/>
          <w:i w:val="0"/>
        </w:rPr>
        <w:t>For each examined site, the sweep pulled three documents and read them together: the current swim-classification roster (for the signature block), the current certification file (for the signer's credential code, issue, and expiry), and the credential-track authorization matrix (for the assessment-authority column). No document was treated as probative alone; the roster says who signed, the certification file says what they hold, the matrix says what the credential authorizes. For each never-examined site, none of the three was pulled, and the site's staffing-file description of its waterfront director is reported here only as context, clearly labeled as unexamined.</w:t>
      </w:r>
    </w:p>
    <w:p>
      <w:r>
        <w:rPr>
          <w:b w:val="0"/>
          <w:i w:val="0"/>
        </w:rPr>
        <w:t>The sweep also recorded the historical pattern at the examined sites against the WF6 authorization-continuity trace, which lists the signer of record per season over the eight-season span 2019-2026. That trace is a factual record; the sweep report's conclusions are drawn by reading it beside the matrix, not from the trace alone.</w:t>
      </w:r>
    </w:p>
    <w:p>
      <w:pPr>
        <w:shd w:val="clear" w:color="auto" w:fill="0F6B6B"/>
        <w:spacing w:before="200" w:after="120"/>
      </w:pPr>
      <w:r>
        <w:rPr>
          <w:rFonts w:ascii="Palatino Linotype" w:hAnsi="Palatino Linotype"/>
          <w:b/>
          <w:color w:val="FFFFFF"/>
          <w:sz w:val="28"/>
        </w:rPr>
        <w:t>8. Budget record</w:t>
      </w:r>
    </w:p>
    <w:tbl>
      <w:tblPr>
        <w:tblStyle w:val="TableGrid"/>
        <w:tblW w:type="auto" w:w="0"/>
        <w:tblLook w:firstColumn="1" w:firstRow="1" w:lastColumn="0" w:lastRow="0" w:noHBand="0" w:noVBand="1" w:val="04A0"/>
      </w:tblPr>
      <w:tblGrid>
        <w:gridCol w:w="3120"/>
        <w:gridCol w:w="3120"/>
        <w:gridCol w:w="3120"/>
      </w:tblGrid>
      <w:tr>
        <w:tc>
          <w:tcPr>
            <w:tcW w:type="dxa" w:w="3456"/>
            <w:shd w:val="clear" w:color="auto" w:fill="D9D9D9"/>
          </w:tcPr>
          <w:p>
            <w:r/>
            <w:r>
              <w:rPr>
                <w:b/>
              </w:rPr>
              <w:t>Line</w:t>
            </w:r>
          </w:p>
        </w:tc>
        <w:tc>
          <w:tcPr>
            <w:tcW w:type="dxa" w:w="1440"/>
            <w:shd w:val="clear" w:color="auto" w:fill="D9D9D9"/>
          </w:tcPr>
          <w:p>
            <w:r/>
            <w:r>
              <w:rPr>
                <w:b/>
              </w:rPr>
              <w:t>Amount</w:t>
            </w:r>
          </w:p>
        </w:tc>
        <w:tc>
          <w:tcPr>
            <w:tcW w:type="dxa" w:w="4320"/>
            <w:shd w:val="clear" w:color="auto" w:fill="D9D9D9"/>
          </w:tcPr>
          <w:p>
            <w:r/>
            <w:r>
              <w:rPr>
                <w:b/>
              </w:rPr>
              <w:t>Notes</w:t>
            </w:r>
          </w:p>
        </w:tc>
      </w:tr>
      <w:tr>
        <w:tc>
          <w:tcPr>
            <w:tcW w:type="dxa" w:w="3456"/>
          </w:tcPr>
          <w:p>
            <w:r/>
            <w:r>
              <w:t>Corrigwell re-examination (re-assessment staffing, records work)</w:t>
            </w:r>
          </w:p>
        </w:tc>
        <w:tc>
          <w:tcPr>
            <w:tcW w:type="dxa" w:w="1440"/>
          </w:tcPr>
          <w:p>
            <w:r/>
            <w:r>
              <w:t>$9,400</w:t>
            </w:r>
          </w:p>
        </w:tc>
        <w:tc>
          <w:tcPr>
            <w:tcW w:type="dxa" w:w="4320"/>
          </w:tcPr>
          <w:p>
            <w:r/>
            <w:r>
              <w:t>Funded - complete within Session 2</w:t>
            </w:r>
          </w:p>
        </w:tc>
      </w:tr>
      <w:tr>
        <w:tc>
          <w:tcPr>
            <w:tcW w:type="dxa" w:w="3456"/>
          </w:tcPr>
          <w:p>
            <w:r/>
            <w:r>
              <w:t>Loon Hollow examination</w:t>
            </w:r>
          </w:p>
        </w:tc>
        <w:tc>
          <w:tcPr>
            <w:tcW w:type="dxa" w:w="1440"/>
          </w:tcPr>
          <w:p>
            <w:r/>
            <w:r>
              <w:t>$2,300</w:t>
            </w:r>
          </w:p>
        </w:tc>
        <w:tc>
          <w:tcPr>
            <w:tcW w:type="dxa" w:w="4320"/>
          </w:tcPr>
          <w:p>
            <w:r/>
            <w:r>
              <w:t>Funded - complete July 2026</w:t>
            </w:r>
          </w:p>
        </w:tc>
      </w:tr>
      <w:tr>
        <w:tc>
          <w:tcPr>
            <w:tcW w:type="dxa" w:w="3456"/>
          </w:tcPr>
          <w:p>
            <w:r/>
            <w:r>
              <w:t>Four-site examination</w:t>
            </w:r>
          </w:p>
        </w:tc>
        <w:tc>
          <w:tcPr>
            <w:tcW w:type="dxa" w:w="1440"/>
          </w:tcPr>
          <w:p>
            <w:r/>
            <w:r>
              <w:t>$9,800 (est.)</w:t>
            </w:r>
          </w:p>
        </w:tc>
        <w:tc>
          <w:tcPr>
            <w:tcW w:type="dxa" w:w="4320"/>
          </w:tcPr>
          <w:p>
            <w:r/>
            <w:r>
              <w:t>Not funded in 2026; fall budget amendment decision</w:t>
            </w:r>
          </w:p>
        </w:tc>
      </w:tr>
      <w:tr>
        <w:tc>
          <w:tcPr>
            <w:tcW w:type="dxa" w:w="3456"/>
          </w:tcPr>
          <w:p>
            <w:r/>
            <w:r>
              <w:t>Authorization-matrix training, all sites</w:t>
            </w:r>
          </w:p>
        </w:tc>
        <w:tc>
          <w:tcPr>
            <w:tcW w:type="dxa" w:w="1440"/>
          </w:tcPr>
          <w:p>
            <w:r/>
            <w:r>
              <w:t>$2,500</w:t>
            </w:r>
          </w:p>
        </w:tc>
        <w:tc>
          <w:tcPr>
            <w:tcW w:type="dxa" w:w="4320"/>
          </w:tcPr>
          <w:p>
            <w:r/>
            <w:r>
              <w:t>Funded - acknowledgments due 07/31/2026</w:t>
            </w:r>
          </w:p>
        </w:tc>
      </w:tr>
    </w:tbl>
    <w:p/>
    <w:p>
      <w:r>
        <w:rPr>
          <w:b w:val="0"/>
          <w:i w:val="0"/>
        </w:rPr>
        <w:t>The decision to fund two examinations rather than six was made by the Executive Director on July 2, 2026 against the competing July deadlines (license renewal application July 15, corrective-action response July 30, underwriting documentation window opening July 2) and the season's staffing reality. It is recorded here so that the never-examined statuses are traceable to a decision, not to an oversight.</w:t>
      </w:r>
    </w:p>
    <w:p>
      <w:pPr>
        <w:shd w:val="clear" w:color="auto" w:fill="0F6B6B"/>
        <w:spacing w:before="200" w:after="120"/>
      </w:pPr>
      <w:r>
        <w:rPr>
          <w:rFonts w:ascii="Palatino Linotype" w:hAnsi="Palatino Linotype"/>
          <w:b/>
          <w:color w:val="FFFFFF"/>
          <w:sz w:val="28"/>
        </w:rPr>
        <w:t>9. What the sweep does not say</w:t>
      </w:r>
    </w:p>
    <w:p>
      <w:r>
        <w:rPr>
          <w:b w:val="0"/>
          <w:i w:val="0"/>
        </w:rPr>
        <w:t>The sweep does not say the four never-examined sites are out of compliance. It does not say they are in compliance. It records that the organization examined two sites, cleared one, found one unauthorized, and chose - for budget reasons - to leave four sites unexamined in 2026. That choice is a documented, deliberate risk acceptance by the Executive Director, reviewed with the Board Risk Committee on July 28, 2026, and it is revisited at the fall budget meeting.</w:t>
      </w:r>
    </w:p>
    <w:p>
      <w:pPr>
        <w:shd w:val="clear" w:color="auto" w:fill="0F6B6B"/>
        <w:spacing w:before="200" w:after="120"/>
      </w:pPr>
      <w:r>
        <w:rPr>
          <w:rFonts w:ascii="Palatino Linotype" w:hAnsi="Palatino Linotype"/>
          <w:b/>
          <w:color w:val="FFFFFF"/>
          <w:sz w:val="28"/>
        </w:rPr>
        <w:t>10. Relationship to the operational record</w:t>
      </w:r>
    </w:p>
    <w:p>
      <w:r>
        <w:rPr>
          <w:b w:val="0"/>
          <w:i w:val="0"/>
        </w:rPr>
        <w:t>The sweep is a credential-authority exercise. Water-quality logs, 1:25 ratio schedules, and incident and first-aid logs at all six sites were out of scope and were not reviewed, consistent with the WF2 scope-isolation finding that the operational record carries no credential content and must not inflate or dilute the Corrigwell finding.</w:t>
      </w:r>
    </w:p>
    <w:p>
      <w:r>
        <w:rPr>
          <w:b w:val="0"/>
          <w:i w:val="0"/>
        </w:rPr>
        <w:t>A note on timing: the sweep was deliberately run after the Corrigwell re-assessment was underway, so that the examination method was informed by the flagship's record. Running it earlier would have been faster and sloppier; the six-week sequence is part of the method, and the Board Risk Committee accepted the trade-off on July 28.</w:t>
      </w:r>
    </w:p>
    <w:p>
      <w:r>
        <w:rPr>
          <w:b w:val="0"/>
          <w:i w:val="0"/>
        </w:rPr>
        <w:t>It is also worth recording what the sweep cost in attention. Six weeks of the Director of Risk and Compliance's season, the Director of Aquatics Standards' July, and two site visits' worth of travel went into examining two sites. That is the honest arithmetic behind the four never-examined statuses, and it is why the fall budget amendment - not any spring intention - will decide whether the 2027 sweep examines all four remaining sites before opening day.</w:t>
      </w:r>
    </w:p>
    <w:p>
      <w:pPr>
        <w:shd w:val="clear" w:color="auto" w:fill="0F6B6B"/>
        <w:spacing w:before="200" w:after="120"/>
      </w:pPr>
      <w:r>
        <w:rPr>
          <w:rFonts w:ascii="Palatino Linotype" w:hAnsi="Palatino Linotype"/>
          <w:b/>
          <w:color w:val="FFFFFF"/>
          <w:sz w:val="28"/>
        </w:rPr>
        <w:t>11. Disposition of this report</w:t>
      </w:r>
    </w:p>
    <w:p>
      <w:pPr>
        <w:shd w:val="clear" w:color="auto" w:fill="0F6B6B"/>
        <w:spacing w:before="200" w:after="120"/>
      </w:pPr>
      <w:r>
        <w:rPr>
          <w:rFonts w:ascii="Palatino Linotype" w:hAnsi="Palatino Linotype"/>
          <w:b/>
          <w:color w:val="FFFFFF"/>
          <w:sz w:val="28"/>
        </w:rPr>
        <w:t>11. Disposition of this report</w:t>
      </w:r>
    </w:p>
    <w:p>
      <w:r>
        <w:rPr>
          <w:b w:val="0"/>
          <w:i w:val="0"/>
        </w:rPr>
        <w:t>This report is filed under Corporate Risk and Compliance, copied to the Bureau response docket as CAP-2026-01 Action 5 evidence, and provided to Great Pines Mutual underwriting with the renewal narrative. The per-site status table is reproduced in the six-site inspection history workbook so the compliance corpus carries the states in both narrative and data form.</w:t>
      </w:r>
    </w:p>
    <w:p/>
    <w:p>
      <w:r>
        <w:rPr>
          <w:b w:val="0"/>
          <w:i w:val="0"/>
        </w:rPr>
        <w:t>Prepared by: Priya Natarajan, Director of Risk and Compliance</w:t>
      </w:r>
    </w:p>
    <w:p>
      <w:r>
        <w:rPr>
          <w:b w:val="0"/>
          <w:i w:val="0"/>
        </w:rPr>
        <w:t>Reviewed with the Board Risk Committee: 07/28/2026</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 Antiqua" w:hAnsi="Book Antiqua" w:eastAsia="Book Antiqua" w:cs="Book Antiqu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alatino Linotype" w:hAnsi="Palatino Linotype" w:eastAsia="Palatino Linotype" w:cs="Palatino Linotype"/>
      <w:b/>
      <w:bCs/>
      <w:color w:val="0F6B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alatino Linotype" w:hAnsi="Palatino Linotype" w:eastAsia="Palatino Linotype" w:cs="Palatino Linotype"/>
      <w:b/>
      <w:bCs/>
      <w:color w:val="0F6B6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16.0300</AppVersion>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Harold J. Brennan</dc:creator>
  <cp:keywords/>
  <dc:description>generated by python-docx</dc:description>
  <cp:lastModifiedBy/>
  <cp:revision>1</cp:revision>
  <dcterms:created xsi:type="dcterms:W3CDTF">2023-02-08T13:30:45Z</dcterms:created>
  <dcterms:modified xsi:type="dcterms:W3CDTF">2023-06-02T13:30:45Z</dcterms:modified>
  <cp:category/>
</cp:coreProperties>
</file>