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Semibold" w:hAnsi="Segoe UI Semibold"/>
          <w:b/>
          <w:color w:val="1E5631"/>
          <w:sz w:val="38"/>
        </w:rPr>
        <w:t>KVL Camps</w:t>
      </w:r>
    </w:p>
    <w:p>
      <w:pPr>
        <w:spacing w:after="0"/>
      </w:pPr>
      <w:r>
        <w:rPr>
          <w:sz w:val="20"/>
        </w:rPr>
        <w:t>18 Pinewold Road</w:t>
      </w:r>
    </w:p>
    <w:p>
      <w:pPr>
        <w:spacing w:after="0"/>
      </w:pPr>
      <w:r>
        <w:rPr>
          <w:sz w:val="20"/>
        </w:rPr>
        <w:t>Corrigwell Lake, AV 04237</w:t>
      </w:r>
    </w:p>
    <w:p>
      <w:pPr>
        <w:spacing w:after="0"/>
      </w:pPr>
      <w:r>
        <w:rPr>
          <w:sz w:val="20"/>
        </w:rPr>
        <w:t>Corrigwell Waterfront Operations</w:t>
      </w:r>
    </w:p>
    <w:p>
      <w:pPr>
        <w:pBdr>
          <w:bottom w:val="single" w:sz="16" w:space="1" w:color="1E5631"/>
        </w:pBdr>
      </w:pPr>
    </w:p>
    <w:p>
      <w:pPr>
        <w:pStyle w:val="Heading1"/>
      </w:pPr>
      <w:r>
        <w:rPr>
          <w:rFonts w:ascii="Segoe UI Semibold" w:hAnsi="Segoe UI Semibold"/>
          <w:b/>
          <w:smallCaps/>
          <w:color w:val="1E5631"/>
          <w:sz w:val="34"/>
          <w:spacing w:val="24"/>
        </w:rPr>
        <w:t>Emergency Action Plan - Corrigwell Waterfront</w:t>
      </w:r>
    </w:p>
    <w:p>
      <w:r>
        <w:rPr>
          <w:b w:val="0"/>
          <w:i/>
        </w:rPr>
        <w:t>KVL Camps Corrigwell Waterfront Operations - Rev. 2026-05, drilled June 2026</w:t>
      </w:r>
    </w:p>
    <w:p>
      <w:r>
        <w:rPr>
          <w:b w:val="0"/>
          <w:i w:val="0"/>
        </w:rPr>
        <w:t>This emergency action plan covers the Corrigwell waterfront: the three swim areas, the docks, the boating beach, and the buddy board station. It is drilled in staff week and at every session change. Every aquatics staff member carries the pocket card; this document is the full text behind it.</w:t>
      </w:r>
    </w:p>
    <w:p>
      <w:pPr>
        <w:pStyle w:val="Heading1"/>
      </w:pPr>
      <w:r>
        <w:rPr>
          <w:rFonts w:ascii="Segoe UI Semibold" w:hAnsi="Segoe UI Semibold"/>
          <w:b/>
          <w:smallCaps/>
          <w:color w:val="1E5631"/>
          <w:sz w:val="34"/>
          <w:spacing w:val="24"/>
        </w:rPr>
        <w:t>1. Recognition and alarm</w:t>
      </w:r>
    </w:p>
    <w:p>
      <w:r>
        <w:rPr>
          <w:b w:val="0"/>
          <w:i w:val="0"/>
        </w:rPr>
        <w:t>Any guard who recognizes an emergency gives one long whistle blast and points at the location. One long blast stops all swimming and brings every guard to attention; three short blasts clear the water. The buddy-board coordinator calls the board to account immediately - board count against roster count - while the response runs. The two run in parallel; accountability is not an afterthought.</w:t>
      </w:r>
    </w:p>
    <w:p>
      <w:pPr>
        <w:pStyle w:val="Heading1"/>
      </w:pPr>
      <w:r>
        <w:rPr>
          <w:rFonts w:ascii="Segoe UI Semibold" w:hAnsi="Segoe UI Semibold"/>
          <w:b/>
          <w:smallCaps/>
          <w:color w:val="1E5631"/>
          <w:sz w:val="34"/>
          <w:spacing w:val="24"/>
        </w:rPr>
        <w:t>2. Chain of command</w:t>
      </w:r>
    </w:p>
    <w:p>
      <w:r>
        <w:rPr>
          <w:b w:val="0"/>
          <w:i w:val="0"/>
        </w:rPr>
        <w:t>The senior guard on stand commands the response until the Waterfront Director arrives; the Waterfront Director commands until the Camp Director arrives. EMS is called by the office phone tree (dock phone, then cell backup) with the script posted at the dock phone: site name, lake address, gate code, nature of emergency, number of victims, access point. The gate to the service road is unlocked by the maintenance lead on the first alarm - do not wait for a request.</w:t>
      </w:r>
    </w:p>
    <w:p>
      <w:pPr>
        <w:pStyle w:val="Heading1"/>
      </w:pPr>
      <w:r>
        <w:rPr>
          <w:rFonts w:ascii="Segoe UI Semibold" w:hAnsi="Segoe UI Semibold"/>
          <w:b/>
          <w:smallCaps/>
          <w:color w:val="1E5631"/>
          <w:sz w:val="34"/>
          <w:spacing w:val="24"/>
        </w:rPr>
        <w:t>3. Missing swimmer</w:t>
      </w:r>
    </w:p>
    <w:p>
      <w:r>
        <w:rPr>
          <w:b w:val="0"/>
          <w:i w:val="0"/>
        </w:rPr>
        <w:t>A buddy-board mismatch or a report of a missing swimmer triggers a water search: clear the water, account for all other campers at the board, then search shallow to deep with the on-stand guards wading and the deep-area guard on the rescue board. If the swimmer is not found in two minutes, the office calls 911 and the camp director; the search continues with all certified staff. Counselors hold units at the board station in line of sight of the water.</w:t>
      </w:r>
    </w:p>
    <w:p>
      <w:pPr>
        <w:pStyle w:val="Heading1"/>
      </w:pPr>
      <w:r>
        <w:rPr>
          <w:rFonts w:ascii="Segoe UI Semibold" w:hAnsi="Segoe UI Semibold"/>
          <w:b/>
          <w:smallCaps/>
          <w:color w:val="1E5631"/>
          <w:sz w:val="34"/>
          <w:spacing w:val="24"/>
        </w:rPr>
        <w:t>4. Drowning response - responsive</w:t>
      </w:r>
    </w:p>
    <w:p>
      <w:r>
        <w:rPr>
          <w:b w:val="0"/>
          <w:i w:val="0"/>
        </w:rPr>
        <w:t>Reach or throw before going: pole, then ring buoy, then rescue tube entry. A conscious, struggling swimmer is approached from behind with the tube between rescuer and victim. Bring the victim to the dock or shallow, assess breathing, and hand to the first-aid station. Any victim who swallowed water or was submerged is seen at the health lodge the same day and the parent is called, even if the victim looks fine - delayed drowning is the reason, and the log entry records the submersion.</w:t>
      </w:r>
    </w:p>
    <w:p>
      <w:pPr>
        <w:pStyle w:val="Heading1"/>
      </w:pPr>
      <w:r>
        <w:rPr>
          <w:rFonts w:ascii="Segoe UI Semibold" w:hAnsi="Segoe UI Semibold"/>
          <w:b/>
          <w:smallCaps/>
          <w:color w:val="1E5631"/>
          <w:sz w:val="34"/>
          <w:spacing w:val="24"/>
        </w:rPr>
        <w:t>5. Drowning response - unresponsive</w:t>
      </w:r>
    </w:p>
    <w:p>
      <w:r>
        <w:rPr>
          <w:b w:val="0"/>
          <w:i w:val="0"/>
        </w:rPr>
        <w:t>An unresponsive victim comes out of the water on the backboard with the head immobilized if a spinal mechanism is possible. CPR starts at the dock with the AED brought to the patient - the AED lives at the buddy board station and is checked monthly. One rescuer compressions, one rescuer airway, third runs the AED and the clock. EMS is already on the way from the first alarm; the phone-tree caller confirms 'CPR in progress' as soon as it starts.</w:t>
      </w:r>
    </w:p>
    <w:p>
      <w:pPr>
        <w:pStyle w:val="Heading1"/>
      </w:pPr>
      <w:r>
        <w:rPr>
          <w:rFonts w:ascii="Segoe UI Semibold" w:hAnsi="Segoe UI Semibold"/>
          <w:b/>
          <w:smallCaps/>
          <w:color w:val="1E5631"/>
          <w:sz w:val="34"/>
          <w:spacing w:val="24"/>
        </w:rPr>
        <w:t>6. Spinal precaution</w:t>
      </w:r>
    </w:p>
    <w:p>
      <w:r>
        <w:rPr>
          <w:b w:val="0"/>
          <w:i w:val="0"/>
        </w:rPr>
        <w:t>Any blow to the head or neck, any dive into shallow water, any camper found face-down near the deep-area entry gets full spinal precaution: in-water stabilization where found, backboard with straps and head immobilizer, no movement of head or trunk. The deep area at Corrigwell runs to 12 feet; entry injuries there are spinal until proven otherwise.</w:t>
      </w:r>
    </w:p>
    <w:p>
      <w:pPr>
        <w:pStyle w:val="Heading1"/>
      </w:pPr>
      <w:r>
        <w:rPr>
          <w:rFonts w:ascii="Segoe UI Semibold" w:hAnsi="Segoe UI Semibold"/>
          <w:b/>
          <w:smallCaps/>
          <w:color w:val="1E5631"/>
          <w:sz w:val="34"/>
          <w:spacing w:val="24"/>
        </w:rPr>
        <w:t>7. Severe weather</w:t>
      </w:r>
    </w:p>
    <w:p>
      <w:r>
        <w:rPr>
          <w:b w:val="0"/>
          <w:i w:val="0"/>
        </w:rPr>
        <w:t>Thunder: out of the water, 30 minutes from the last sound, campers under the pavilion roof, not under trees. Tornado warning: units to the lodge basement by buddy group, board counts at the basement door. The Waterfront Director owns the call to clear; anyone may make it - no camper has ever been hurt by an unnecessary clear.</w:t>
      </w:r>
    </w:p>
    <w:p>
      <w:pPr>
        <w:pStyle w:val="Heading1"/>
      </w:pPr>
      <w:r>
        <w:rPr>
          <w:rFonts w:ascii="Segoe UI Semibold" w:hAnsi="Segoe UI Semibold"/>
          <w:b/>
          <w:smallCaps/>
          <w:color w:val="1E5631"/>
          <w:sz w:val="34"/>
          <w:spacing w:val="24"/>
        </w:rPr>
        <w:t>8. Chemical events</w:t>
      </w:r>
    </w:p>
    <w:p>
      <w:r>
        <w:rPr>
          <w:b w:val="0"/>
          <w:i w:val="0"/>
        </w:rPr>
        <w:t>A chlorine feed fault or a spilled treatment chemical clears the affected area and the pump room is entered only with the SDS binder and a second person outside the door. Muriatic acid and sodium hypochlorite are stored separately; if they mix, the building evacuates uphill and the office calls the fire district, not 911 general. The chemical inventory and storage log lists what is on site and where.</w:t>
      </w:r>
    </w:p>
    <w:p>
      <w:pPr>
        <w:pStyle w:val="Heading1"/>
      </w:pPr>
      <w:r>
        <w:rPr>
          <w:rFonts w:ascii="Segoe UI Semibold" w:hAnsi="Segoe UI Semibold"/>
          <w:b/>
          <w:smallCaps/>
          <w:color w:val="1E5631"/>
          <w:sz w:val="34"/>
          <w:spacing w:val="24"/>
        </w:rPr>
        <w:t>9. Documentation</w:t>
      </w:r>
    </w:p>
    <w:p>
      <w:r>
        <w:rPr>
          <w:b w:val="0"/>
          <w:i w:val="0"/>
        </w:rPr>
        <w:t>Every activation of this plan, drill or real, is logged on the incident and first-aid log the same day with times, responders, equipment used, and notifications. State-reportable incidents go to the Bureau of Youth Camp Licensing within the statutory window via the Camp Director. Logs are reviewed at the close of each session by the Waterfront Director and filed under Waterfront Operations for the season.</w:t>
      </w:r>
    </w:p>
    <w:p>
      <w:pPr>
        <w:pStyle w:val="Heading1"/>
      </w:pPr>
      <w:r>
        <w:rPr>
          <w:rFonts w:ascii="Segoe UI Semibold" w:hAnsi="Segoe UI Semibold"/>
          <w:b/>
          <w:smallCaps/>
          <w:color w:val="1E5631"/>
          <w:sz w:val="34"/>
          <w:spacing w:val="24"/>
        </w:rPr>
        <w:t>10. Communications tree</w:t>
      </w:r>
    </w:p>
    <w:p>
      <w:r>
        <w:rPr>
          <w:b w:val="0"/>
          <w:i w:val="0"/>
        </w:rPr>
        <w:t>First alarm: senior guard on stand. Second call (within two minutes): office phone tree - Camp Director, then Director of Aquatics Standards, then Director of Risk and Compliance. EMS: dock phone or cell, script at the dock phone. Parent notification is made by the Camp Director or the health lodge, never by a guard. Media contact of any kind goes to the Executive Director's office; staff refer every inquiry. The tree is posted at the buddy board desk, the dock phone, the pump room, and the health lodge.</w:t>
      </w:r>
    </w:p>
    <w:p>
      <w:pPr>
        <w:pStyle w:val="Heading1"/>
      </w:pPr>
      <w:r>
        <w:rPr>
          <w:rFonts w:ascii="Segoe UI Semibold" w:hAnsi="Segoe UI Semibold"/>
          <w:b/>
          <w:smallCaps/>
          <w:color w:val="1E5631"/>
          <w:sz w:val="34"/>
          <w:spacing w:val="24"/>
        </w:rPr>
        <w:t>11. Accountability at the board</w:t>
      </w:r>
    </w:p>
    <w:p>
      <w:r>
        <w:rPr>
          <w:b w:val="0"/>
          <w:i w:val="0"/>
        </w:rPr>
        <w:t>Every activation includes a board accounting: tags counted, roster count read, missing names identified within five minutes. The accountability officer is the buddy-board coordinator; if the coordinator is part of the response, the senior unit counselor takes the board. Campers are held at the board station in buddy pairs, seated, in unit order. Accountability is reported as 'board clear' or with names; names are worked until resolved. No activation ends without a clear board.</w:t>
      </w:r>
    </w:p>
    <w:p>
      <w:pPr>
        <w:pStyle w:val="Heading1"/>
      </w:pPr>
      <w:r>
        <w:rPr>
          <w:rFonts w:ascii="Segoe UI Semibold" w:hAnsi="Segoe UI Semibold"/>
          <w:b/>
          <w:smallCaps/>
          <w:color w:val="1E5631"/>
          <w:sz w:val="34"/>
          <w:spacing w:val="24"/>
        </w:rPr>
        <w:t>12. Post-incident review</w:t>
      </w:r>
    </w:p>
    <w:p>
      <w:r>
        <w:rPr>
          <w:b w:val="0"/>
          <w:i w:val="0"/>
        </w:rPr>
        <w:t>Any activation beyond routine first aid gets a same-week review: timeline, what worked, what did not, and one change if the review finds one. The review memo goes to the Waterfront Director and the Director of Aquatics Standards and is filed with the season's incident log. The 2025 near-shore assist review produced the floater position on the 2:15 block; the 2024 board-mismatch review produced the rule that escorts carry a spare tag. Reviews are blameless - the question is always what the system did, never who to fault.</w:t>
      </w:r>
    </w:p>
    <w:p>
      <w:pPr>
        <w:pStyle w:val="Heading1"/>
      </w:pPr>
      <w:r>
        <w:rPr>
          <w:rFonts w:ascii="Segoe UI Semibold" w:hAnsi="Segoe UI Semibold"/>
          <w:b/>
          <w:smallCaps/>
          <w:color w:val="1E5631"/>
          <w:sz w:val="34"/>
          <w:spacing w:val="24"/>
        </w:rPr>
        <w:t>13. Waterfront-specific scenarios</w:t>
      </w:r>
    </w:p>
    <w:p>
      <w:r>
        <w:rPr>
          <w:b w:val="0"/>
          <w:i w:val="0"/>
        </w:rPr>
        <w:t>Capsize at the boating beach: the boating instructor's chase boat responds; swimmers are not involved and the swim areas hold their rotations unless the capsize drifts toward a swim line. A camper overboard without a PFD is a drowning response, not a boating call. Diving incident at the deep-area entry: full spinal precaution, Area C closes for the rest of the period, and the deep-area entry is re-marked before it reopens. Suspected entrapment at a drain: the pump is killed at the pump room emergency switch by whoever is closest - no permission needed - and the area clears while the victim is stabilized; the pump room switch location is in every guard's orientation. Missing camper whose last known point is not the waterfront: the waterfront still runs a board accounting, because the board is the fastest way to prove the camper is not in the water.</w:t>
      </w:r>
    </w:p>
    <w:p>
      <w:r>
        <w:rPr>
          <w:b w:val="0"/>
          <w:i w:val="0"/>
        </w:rPr>
        <w:t>Every scenario ends the same way: the board is cleared, the log is written the same day, and the Waterfront Director decides what reopens and when. Reopening after a serious activation requires the Camp Director's sign-off.</w:t>
      </w:r>
    </w:p>
    <w:p>
      <w:r>
        <w:rPr>
          <w:b w:val="0"/>
          <w:i w:val="0"/>
        </w:rPr>
        <w:t>Two points apply to every scenario in this plan. First, the alarm never waits for certainty: the guard who thinks something is wrong acts, and a false alarm is a drill we did not have to schedule. Second, nobody documents during a response - the log is written when the scene is safe, from notes the senior guard starts the moment hands are free.</w:t>
      </w:r>
    </w:p>
    <w:p>
      <w:pPr>
        <w:pStyle w:val="Heading1"/>
      </w:pPr>
      <w:r>
        <w:rPr>
          <w:rFonts w:ascii="Segoe UI Semibold" w:hAnsi="Segoe UI Semibold"/>
          <w:b/>
          <w:smallCaps/>
          <w:color w:val="1E5631"/>
          <w:sz w:val="34"/>
          <w:spacing w:val="24"/>
        </w:rPr>
        <w:t>14. Drill schedule</w:t>
      </w:r>
    </w:p>
    <w:p>
      <w:r>
        <w:rPr>
          <w:b w:val="0"/>
          <w:i w:val="0"/>
        </w:rPr>
        <w:t>Drills run in staff week (two scenarios), the first Friday of each session (rotating scenario), and unannounced once per session. The 2026 drill record: staff week June 10 and June 12 (missing swimmer, unresponsive victim), Session 1 July 3 (severe weather), Session 2 July 24 (spinal at the deep-area entry), Session 3 scheduled August 14. Drill performance is a training record, not an evaluation of individuals.</w:t>
      </w:r>
    </w:p>
    <w:p/>
    <w:p>
      <w:r>
        <w:rPr>
          <w:b w:val="0"/>
          <w:i w:val="0"/>
        </w:rPr>
        <w:t>Issued by: Carmen P. Yee, Waterfront Director, Corrigwell</w:t>
      </w:r>
    </w:p>
    <w:p>
      <w:r>
        <w:rPr>
          <w:b w:val="0"/>
          <w:i w:val="0"/>
        </w:rPr>
        <w:t>Reviewed by: Raquel I. Delgado, Director of Aquatics Standards        Rev. 2026-05</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1E5631"/>
        <w:sz w:val="20"/>
      </w:rPr>
      <w:t xml:space="preserve">Page </w:t>
    </w:r>
    <w:r>
      <w:rPr>
        <w:rFonts w:ascii="Segoe UI" w:hAnsi="Segoe UI"/>
        <w:color w:val="1E5631"/>
        <w:sz w:val="20"/>
      </w:rPr>
      <w:fldChar w:fldCharType="begin"/>
      <w:instrText xml:space="preserve">PAGE</w:instrText>
      <w:fldChar w:fldCharType="end"/>
    </w:r>
    <w:r>
      <w:rPr>
        <w:rFonts w:ascii="Segoe UI" w:hAnsi="Segoe UI"/>
        <w:color w:val="1E5631"/>
        <w:sz w:val="20"/>
      </w:rPr>
      <w:t xml:space="preserve"> of </w:t>
    </w:r>
    <w:r>
      <w:rPr>
        <w:rFonts w:ascii="Segoe UI" w:hAnsi="Segoe UI"/>
        <w:color w:val="1E5631"/>
        <w:sz w:val="20"/>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cs="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Semibold" w:hAnsi="Segoe UI Semibold" w:eastAsia="Segoe UI Semibold" w:cs="Segoe UI Semibold"/>
      <w:b/>
      <w:bCs/>
      <w:color w:val="1E563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Semibold" w:hAnsi="Segoe UI Semibold" w:eastAsia="Segoe UI Semibold" w:cs="Segoe UI Semibold"/>
      <w:b/>
      <w:bCs/>
      <w:color w:val="1E563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I. Delgado</dc:creator>
  <cp:keywords/>
  <dc:description>generated by python-docx</dc:description>
  <cp:lastModifiedBy/>
  <cp:revision>1</cp:revision>
  <dcterms:created xsi:type="dcterms:W3CDTF">2023-11-07T07:04:01Z</dcterms:created>
  <dcterms:modified xsi:type="dcterms:W3CDTF">2024-12-02T07:04:01Z</dcterms:modified>
  <cp:category/>
</cp:coreProperties>
</file>