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br/>
        <w:br/>
      </w:r>
      <w:r>
        <w:rPr>
          <w:rFonts w:ascii="Aptos Display" w:hAnsi="Aptos Display"/>
          <w:b/>
          <w:color w:val="1F4E79"/>
          <w:sz w:val="54"/>
        </w:rPr>
        <w:t>CAHIER DES CHARGES</w:t>
        <w:br/>
        <w:t>TECHNIQUES</w:t>
      </w:r>
    </w:p>
    <w:p>
      <w:pPr>
        <w:jc w:val="center"/>
      </w:pPr>
      <w:r>
        <w:rPr>
          <w:color w:val="4B5563"/>
          <w:sz w:val="30"/>
        </w:rPr>
        <w:t>Knowledge Graph Desktop — documentation technique interconnectée</w:t>
      </w:r>
    </w:p>
    <w:p>
      <w:r>
        <w:br/>
      </w:r>
    </w:p>
    <w:p>
      <w:pPr>
        <w:jc w:val="center"/>
      </w:pPr>
      <w:r>
        <w:t>Version 1.1 — 29 octobre 2026</w:t>
      </w:r>
    </w:p>
    <w:p>
      <w:pPr>
        <w:jc w:val="center"/>
      </w:pPr>
      <w:r>
        <w:t>Cible initiale : Windows · Application locale · Sans backend · Sans exécution de code</w:t>
      </w:r>
    </w:p>
    <w:p>
      <w:r>
        <w:br w:type="page"/>
      </w:r>
    </w:p>
    <w:p>
      <w:pPr>
        <w:pStyle w:val="Heading1"/>
      </w:pPr>
      <w:r>
        <w:t>1. Présentation du projet</w:t>
      </w:r>
    </w:p>
    <w:p>
      <w:r>
        <w:t>Le projet consiste à développer une application desktop permettant de construire et maintenir une base de connaissances techniques organisée sous forme de graphe. L'application cible les développeurs, ingénieurs logiciels et profils data qui souhaitent documenter des concepts, technologies, composants, procédures et architectures, puis établir des liens explicites entre eux.</w:t>
      </w:r>
    </w:p>
    <w:p>
      <w:r>
        <w:t>Chaque nœud est un espace de connaissance pouvant contenir plusieurs documents et sous-nœuds. Les documents peuvent inclure du texte Markdown, du code source conservé comme contenu inerte, des diagrammes et des pièces jointes. Les relations du graphe sont distinctes de la hiérarchie.</w:t>
      </w:r>
    </w:p>
    <w:p>
      <w:pPr>
        <w:pStyle w:val="Heading2"/>
      </w:pPr>
      <w:r>
        <w:t>1.1 Objectifs</w:t>
      </w:r>
    </w:p>
    <w:p>
      <w:pPr>
        <w:pStyle w:val="ListBullet"/>
      </w:pPr>
      <w:r>
        <w:t>Créer et enrichir manuellement une documentation technique sur la durée.</w:t>
      </w:r>
    </w:p>
    <w:p>
      <w:pPr>
        <w:pStyle w:val="ListBullet"/>
      </w:pPr>
      <w:r>
        <w:t>Relier des concepts, fichiers, composants, procédures et documents par des relations nommées.</w:t>
      </w:r>
    </w:p>
    <w:p>
      <w:pPr>
        <w:pStyle w:val="ListBullet"/>
      </w:pPr>
      <w:r>
        <w:t>Explorer visuellement les relations et parcourir la hiérarchie des connaissances.</w:t>
      </w:r>
    </w:p>
    <w:p>
      <w:pPr>
        <w:pStyle w:val="ListBullet"/>
      </w:pPr>
      <w:r>
        <w:t>Stocker les données localement et permettre leur sauvegarde et leur export.</w:t>
      </w:r>
    </w:p>
    <w:p>
      <w:pPr>
        <w:pStyle w:val="ListBullet"/>
      </w:pPr>
      <w:r>
        <w:t>Poser des fondations évolutives pour de futures fonctionnalités sans les développer en V1.</w:t>
      </w:r>
    </w:p>
    <w:p>
      <w:pPr>
        <w:pStyle w:val="Heading2"/>
      </w:pPr>
      <w:r>
        <w:t>1.2 Hors périmètre de la V1</w:t>
      </w:r>
    </w:p>
    <w:p>
      <w:pPr>
        <w:pStyle w:val="ListBullet"/>
      </w:pPr>
      <w:r>
        <w:t>Exécuter, compiler, interpréter ou lancer le code enregistré.</w:t>
      </w:r>
    </w:p>
    <w:p>
      <w:pPr>
        <w:pStyle w:val="ListBullet"/>
      </w:pPr>
      <w:r>
        <w:t>Terminal intégré, débogueur, environnement d'exécution ou sandbox de code.</w:t>
      </w:r>
    </w:p>
    <w:p>
      <w:pPr>
        <w:pStyle w:val="ListBullet"/>
      </w:pPr>
      <w:r>
        <w:t>Synchronisation cloud, comptes utilisateurs, collaboration temps réel ou backend distant.</w:t>
      </w:r>
    </w:p>
    <w:p>
      <w:pPr>
        <w:pStyle w:val="ListBullet"/>
      </w:pPr>
      <w:r>
        <w:t>Connexion à GitHub, GitLab, Jira, bases de données, API ou outils tiers.</w:t>
      </w:r>
    </w:p>
    <w:p>
      <w:pPr>
        <w:pStyle w:val="ListBullet"/>
      </w:pPr>
      <w:r>
        <w:t>Import automatique de repositories ou extraction automatique de relations.</w:t>
      </w:r>
    </w:p>
    <w:p>
      <w:pPr>
        <w:pStyle w:val="ListBullet"/>
      </w:pPr>
      <w:r>
        <w:t>Fonctions d'IA, embeddings, RAG ou génération automatique de documentation.</w:t>
      </w:r>
    </w:p>
    <w:p>
      <w:pPr>
        <w:pStyle w:val="ListBullet"/>
      </w:pPr>
      <w:r>
        <w:t>Application mobile et version web hébergée.</w:t>
      </w:r>
    </w:p>
    <w:p>
      <w:pPr>
        <w:pStyle w:val="Heading1"/>
      </w:pPr>
      <w:r>
        <w:t>2. Principes fonctionnels</w:t>
      </w:r>
    </w:p>
    <w:tbl>
      <w:tblPr>
        <w:tblStyle w:val="LightShading-Accent1"/>
        <w:tblW w:type="auto" w:w="0"/>
        <w:tblLook w:firstColumn="1" w:firstRow="1" w:lastColumn="0" w:lastRow="0" w:noHBand="0" w:noVBand="1" w:val="04A0"/>
      </w:tblPr>
      <w:tblGrid>
        <w:gridCol w:w="4968"/>
        <w:gridCol w:w="4968"/>
      </w:tblGrid>
      <w:tr>
        <w:tc>
          <w:tcPr>
            <w:tcW w:type="dxa" w:w="4968"/>
            <w:shd w:fill="D9EAF7"/>
          </w:tcPr>
          <w:p>
            <w:r/>
            <w:r>
              <w:rPr>
                <w:b/>
                <w:sz w:val="18"/>
              </w:rPr>
              <w:t>Principe</w:t>
            </w:r>
          </w:p>
        </w:tc>
        <w:tc>
          <w:tcPr>
            <w:tcW w:type="dxa" w:w="4968"/>
            <w:shd w:fill="D9EAF7"/>
          </w:tcPr>
          <w:p>
            <w:r/>
            <w:r>
              <w:rPr>
                <w:b/>
                <w:sz w:val="18"/>
              </w:rPr>
              <w:t>Description</w:t>
            </w:r>
          </w:p>
        </w:tc>
      </w:tr>
      <w:tr>
        <w:tc>
          <w:tcPr>
            <w:tcW w:type="dxa" w:w="4968"/>
          </w:tcPr>
          <w:p>
            <w:r/>
            <w:r>
              <w:rPr>
                <w:b w:val="0"/>
                <w:sz w:val="18"/>
              </w:rPr>
              <w:t>Local-first</w:t>
            </w:r>
          </w:p>
        </w:tc>
        <w:tc>
          <w:tcPr>
            <w:tcW w:type="dxa" w:w="4968"/>
          </w:tcPr>
          <w:p>
            <w:r/>
            <w:r>
              <w:rPr>
                <w:b w:val="0"/>
                <w:sz w:val="18"/>
              </w:rPr>
              <w:t>Les connaissances et pièces jointes sont conservées sur la machine de l'utilisateur.</w:t>
            </w:r>
          </w:p>
        </w:tc>
      </w:tr>
      <w:tr>
        <w:tc>
          <w:tcPr>
            <w:tcW w:type="dxa" w:w="4968"/>
          </w:tcPr>
          <w:p>
            <w:r/>
            <w:r>
              <w:rPr>
                <w:b w:val="0"/>
                <w:sz w:val="18"/>
              </w:rPr>
              <w:t>Nœud riche</w:t>
            </w:r>
          </w:p>
        </w:tc>
        <w:tc>
          <w:tcPr>
            <w:tcW w:type="dxa" w:w="4968"/>
          </w:tcPr>
          <w:p>
            <w:r/>
            <w:r>
              <w:rPr>
                <w:b w:val="0"/>
                <w:sz w:val="18"/>
              </w:rPr>
              <w:t>Un nœud peut contenir des sous-nœuds, plusieurs documents, des blocs de code, des diagrammes et des fichiers.</w:t>
            </w:r>
          </w:p>
        </w:tc>
      </w:tr>
      <w:tr>
        <w:tc>
          <w:tcPr>
            <w:tcW w:type="dxa" w:w="4968"/>
          </w:tcPr>
          <w:p>
            <w:r/>
            <w:r>
              <w:rPr>
                <w:b w:val="0"/>
                <w:sz w:val="18"/>
              </w:rPr>
              <w:t>Hiérarchie + graphe</w:t>
            </w:r>
          </w:p>
        </w:tc>
        <w:tc>
          <w:tcPr>
            <w:tcW w:type="dxa" w:w="4968"/>
          </w:tcPr>
          <w:p>
            <w:r/>
            <w:r>
              <w:rPr>
                <w:b w:val="0"/>
                <w:sz w:val="18"/>
              </w:rPr>
              <w:t>La relation parent-enfant organise le contenu ; les arêtes relient librement les nœuds entre eux.</w:t>
            </w:r>
          </w:p>
        </w:tc>
      </w:tr>
      <w:tr>
        <w:tc>
          <w:tcPr>
            <w:tcW w:type="dxa" w:w="4968"/>
          </w:tcPr>
          <w:p>
            <w:r/>
            <w:r>
              <w:rPr>
                <w:b w:val="0"/>
                <w:sz w:val="18"/>
              </w:rPr>
              <w:t>Code inerte</w:t>
            </w:r>
          </w:p>
        </w:tc>
        <w:tc>
          <w:tcPr>
            <w:tcW w:type="dxa" w:w="4968"/>
          </w:tcPr>
          <w:p>
            <w:r/>
            <w:r>
              <w:rPr>
                <w:b w:val="0"/>
                <w:sz w:val="18"/>
              </w:rPr>
              <w:t>Le code est du texte affiché et modifiable. Aucun chemin de l'application ne doit l'exécuter.</w:t>
            </w:r>
          </w:p>
        </w:tc>
      </w:tr>
      <w:tr>
        <w:tc>
          <w:tcPr>
            <w:tcW w:type="dxa" w:w="4968"/>
          </w:tcPr>
          <w:p>
            <w:r/>
            <w:r>
              <w:rPr>
                <w:b w:val="0"/>
                <w:sz w:val="18"/>
              </w:rPr>
              <w:t>Réversibilité</w:t>
            </w:r>
          </w:p>
        </w:tc>
        <w:tc>
          <w:tcPr>
            <w:tcW w:type="dxa" w:w="4968"/>
          </w:tcPr>
          <w:p>
            <w:r/>
            <w:r>
              <w:rPr>
                <w:b w:val="0"/>
                <w:sz w:val="18"/>
              </w:rPr>
              <w:t>L'utilisateur doit pouvoir sauvegarder, exporter et restaurer ses données.</w:t>
            </w:r>
          </w:p>
        </w:tc>
      </w:tr>
      <w:tr>
        <w:tc>
          <w:tcPr>
            <w:tcW w:type="dxa" w:w="4968"/>
          </w:tcPr>
          <w:p>
            <w:r/>
            <w:r>
              <w:rPr>
                <w:b w:val="0"/>
                <w:sz w:val="18"/>
              </w:rPr>
              <w:t>Navigation progressive</w:t>
            </w:r>
          </w:p>
        </w:tc>
        <w:tc>
          <w:tcPr>
            <w:tcW w:type="dxa" w:w="4968"/>
          </w:tcPr>
          <w:p>
            <w:r/>
            <w:r>
              <w:rPr>
                <w:b w:val="0"/>
                <w:sz w:val="18"/>
              </w:rPr>
              <w:t>Le graphe doit pouvoir afficher un voisinage local pour rester lisible à grande échelle.</w:t>
            </w:r>
          </w:p>
        </w:tc>
      </w:tr>
    </w:tbl>
    <w:p/>
    <w:p>
      <w:pPr>
        <w:pStyle w:val="Heading1"/>
      </w:pPr>
      <w:r>
        <w:t>3. Plateforme et distribution</w:t>
      </w:r>
    </w:p>
    <w:p>
      <w:pPr>
        <w:pStyle w:val="Heading2"/>
      </w:pPr>
      <w:r>
        <w:t>3.1 Plateforme cible</w:t>
      </w:r>
    </w:p>
    <w:p>
      <w:r>
        <w:t>La V1 cible Windows 10/11 64 bits. L'architecture ne doit pas empêcher une éventuelle adaptation ultérieure à macOS ou Linux, sans en faire une exigence de livraison.</w:t>
      </w:r>
    </w:p>
    <w:p>
      <w:pPr>
        <w:pStyle w:val="Heading2"/>
      </w:pPr>
      <w:r>
        <w:t>3.2 Packaging</w:t>
      </w:r>
    </w:p>
    <w:p>
      <w:pPr>
        <w:pStyle w:val="ListBullet"/>
      </w:pPr>
      <w:r>
        <w:t>Produire un installateur Windows et une application exécutable localement.</w:t>
      </w:r>
    </w:p>
    <w:p>
      <w:pPr>
        <w:pStyle w:val="ListBullet"/>
      </w:pPr>
      <w:r>
        <w:t>L'application doit fonctionner sans serveur distant et sans connexion Internet après installation.</w:t>
      </w:r>
    </w:p>
    <w:p>
      <w:pPr>
        <w:pStyle w:val="ListBullet"/>
      </w:pPr>
      <w:r>
        <w:t>Les dépendances nécessaires à l'interface doivent être packagées avec l'application.</w:t>
      </w:r>
    </w:p>
    <w:p>
      <w:pPr>
        <w:pStyle w:val="ListBullet"/>
      </w:pPr>
      <w:r>
        <w:t>Prévoir une stratégie de versionnement et un numéro de version visible dans l'application.</w:t>
      </w:r>
    </w:p>
    <w:p>
      <w:pPr>
        <w:pStyle w:val="ListBullet"/>
      </w:pPr>
      <w:r>
        <w:t>Les mises à jour automatiques ne sont pas requises en V1.</w:t>
      </w:r>
    </w:p>
    <w:p>
      <w:pPr>
        <w:pStyle w:val="Heading1"/>
      </w:pPr>
      <w:r>
        <w:t>4. Architecture technique recommandée</w:t>
      </w:r>
    </w:p>
    <w:tbl>
      <w:tblPr>
        <w:tblStyle w:val="LightShading-Accent1"/>
        <w:tblW w:type="auto" w:w="0"/>
        <w:tblLook w:firstColumn="1" w:firstRow="1" w:lastColumn="0" w:lastRow="0" w:noHBand="0" w:noVBand="1" w:val="04A0"/>
      </w:tblPr>
      <w:tblGrid>
        <w:gridCol w:w="3312"/>
        <w:gridCol w:w="3312"/>
        <w:gridCol w:w="3312"/>
      </w:tblGrid>
      <w:tr>
        <w:tc>
          <w:tcPr>
            <w:tcW w:type="dxa" w:w="3312"/>
            <w:shd w:fill="D9EAF7"/>
          </w:tcPr>
          <w:p>
            <w:r/>
            <w:r>
              <w:rPr>
                <w:b/>
                <w:sz w:val="18"/>
              </w:rPr>
              <w:t>Couche</w:t>
            </w:r>
          </w:p>
        </w:tc>
        <w:tc>
          <w:tcPr>
            <w:tcW w:type="dxa" w:w="3312"/>
            <w:shd w:fill="D9EAF7"/>
          </w:tcPr>
          <w:p>
            <w:r/>
            <w:r>
              <w:rPr>
                <w:b/>
                <w:sz w:val="18"/>
              </w:rPr>
              <w:t>Technologie recommandée</w:t>
            </w:r>
          </w:p>
        </w:tc>
        <w:tc>
          <w:tcPr>
            <w:tcW w:type="dxa" w:w="3312"/>
            <w:shd w:fill="D9EAF7"/>
          </w:tcPr>
          <w:p>
            <w:r/>
            <w:r>
              <w:rPr>
                <w:b/>
                <w:sz w:val="18"/>
              </w:rPr>
              <w:t>Responsabilité</w:t>
            </w:r>
          </w:p>
        </w:tc>
      </w:tr>
      <w:tr>
        <w:tc>
          <w:tcPr>
            <w:tcW w:type="dxa" w:w="3312"/>
          </w:tcPr>
          <w:p>
            <w:r/>
            <w:r>
              <w:rPr>
                <w:b w:val="0"/>
                <w:sz w:val="18"/>
              </w:rPr>
              <w:t>Runtime desktop</w:t>
            </w:r>
          </w:p>
        </w:tc>
        <w:tc>
          <w:tcPr>
            <w:tcW w:type="dxa" w:w="3312"/>
          </w:tcPr>
          <w:p>
            <w:r/>
            <w:r>
              <w:rPr>
                <w:b w:val="0"/>
                <w:sz w:val="18"/>
              </w:rPr>
              <w:t>Electron</w:t>
            </w:r>
          </w:p>
        </w:tc>
        <w:tc>
          <w:tcPr>
            <w:tcW w:type="dxa" w:w="3312"/>
          </w:tcPr>
          <w:p>
            <w:r/>
            <w:r>
              <w:rPr>
                <w:b w:val="0"/>
                <w:sz w:val="18"/>
              </w:rPr>
              <w:t>Fenêtre native, cycle de vie, packaging et accès contrôlé aux capacités système.</w:t>
            </w:r>
          </w:p>
        </w:tc>
      </w:tr>
      <w:tr>
        <w:tc>
          <w:tcPr>
            <w:tcW w:type="dxa" w:w="3312"/>
          </w:tcPr>
          <w:p>
            <w:r/>
            <w:r>
              <w:rPr>
                <w:b w:val="0"/>
                <w:sz w:val="18"/>
              </w:rPr>
              <w:t>Interface</w:t>
            </w:r>
          </w:p>
        </w:tc>
        <w:tc>
          <w:tcPr>
            <w:tcW w:type="dxa" w:w="3312"/>
          </w:tcPr>
          <w:p>
            <w:r/>
            <w:r>
              <w:rPr>
                <w:b w:val="0"/>
                <w:sz w:val="18"/>
              </w:rPr>
              <w:t>React + TypeScript</w:t>
            </w:r>
          </w:p>
        </w:tc>
        <w:tc>
          <w:tcPr>
            <w:tcW w:type="dxa" w:w="3312"/>
          </w:tcPr>
          <w:p>
            <w:r/>
            <w:r>
              <w:rPr>
                <w:b w:val="0"/>
                <w:sz w:val="18"/>
              </w:rPr>
              <w:t>Écrans, formulaires, navigation, panneaux et composants de contenu.</w:t>
            </w:r>
          </w:p>
        </w:tc>
      </w:tr>
      <w:tr>
        <w:tc>
          <w:tcPr>
            <w:tcW w:type="dxa" w:w="3312"/>
          </w:tcPr>
          <w:p>
            <w:r/>
            <w:r>
              <w:rPr>
                <w:b w:val="0"/>
                <w:sz w:val="18"/>
              </w:rPr>
              <w:t>Graphe</w:t>
            </w:r>
          </w:p>
        </w:tc>
        <w:tc>
          <w:tcPr>
            <w:tcW w:type="dxa" w:w="3312"/>
          </w:tcPr>
          <w:p>
            <w:r/>
            <w:r>
              <w:rPr>
                <w:b w:val="0"/>
                <w:sz w:val="18"/>
              </w:rPr>
              <w:t>Cytoscape.js</w:t>
            </w:r>
          </w:p>
        </w:tc>
        <w:tc>
          <w:tcPr>
            <w:tcW w:type="dxa" w:w="3312"/>
          </w:tcPr>
          <w:p>
            <w:r/>
            <w:r>
              <w:rPr>
                <w:b w:val="0"/>
                <w:sz w:val="18"/>
              </w:rPr>
              <w:t>Nœuds, arêtes, interactions, filtres et dispositions.</w:t>
            </w:r>
          </w:p>
        </w:tc>
      </w:tr>
      <w:tr>
        <w:tc>
          <w:tcPr>
            <w:tcW w:type="dxa" w:w="3312"/>
          </w:tcPr>
          <w:p>
            <w:r/>
            <w:r>
              <w:rPr>
                <w:b w:val="0"/>
                <w:sz w:val="18"/>
              </w:rPr>
              <w:t>Édition Markdown</w:t>
            </w:r>
          </w:p>
        </w:tc>
        <w:tc>
          <w:tcPr>
            <w:tcW w:type="dxa" w:w="3312"/>
          </w:tcPr>
          <w:p>
            <w:r/>
            <w:r>
              <w:rPr>
                <w:b w:val="0"/>
                <w:sz w:val="18"/>
              </w:rPr>
              <w:t>CodeMirror 6 ou éditeur Markdown équivalent</w:t>
            </w:r>
          </w:p>
        </w:tc>
        <w:tc>
          <w:tcPr>
            <w:tcW w:type="dxa" w:w="3312"/>
          </w:tcPr>
          <w:p>
            <w:r/>
            <w:r>
              <w:rPr>
                <w:b w:val="0"/>
                <w:sz w:val="18"/>
              </w:rPr>
              <w:t>Rédaction et prévisualisation documentaire.</w:t>
            </w:r>
          </w:p>
        </w:tc>
      </w:tr>
      <w:tr>
        <w:tc>
          <w:tcPr>
            <w:tcW w:type="dxa" w:w="3312"/>
          </w:tcPr>
          <w:p>
            <w:r/>
            <w:r>
              <w:rPr>
                <w:b w:val="0"/>
                <w:sz w:val="18"/>
              </w:rPr>
              <w:t>Édition de code</w:t>
            </w:r>
          </w:p>
        </w:tc>
        <w:tc>
          <w:tcPr>
            <w:tcW w:type="dxa" w:w="3312"/>
          </w:tcPr>
          <w:p>
            <w:r/>
            <w:r>
              <w:rPr>
                <w:b w:val="0"/>
                <w:sz w:val="18"/>
              </w:rPr>
              <w:t>CodeMirror 6</w:t>
            </w:r>
          </w:p>
        </w:tc>
        <w:tc>
          <w:tcPr>
            <w:tcW w:type="dxa" w:w="3312"/>
          </w:tcPr>
          <w:p>
            <w:r/>
            <w:r>
              <w:rPr>
                <w:b w:val="0"/>
                <w:sz w:val="18"/>
              </w:rPr>
              <w:t>Coloration syntaxique, numéros de ligne, indentation et copie.</w:t>
            </w:r>
          </w:p>
        </w:tc>
      </w:tr>
      <w:tr>
        <w:tc>
          <w:tcPr>
            <w:tcW w:type="dxa" w:w="3312"/>
          </w:tcPr>
          <w:p>
            <w:r/>
            <w:r>
              <w:rPr>
                <w:b w:val="0"/>
                <w:sz w:val="18"/>
              </w:rPr>
              <w:t>Diagrammes</w:t>
            </w:r>
          </w:p>
        </w:tc>
        <w:tc>
          <w:tcPr>
            <w:tcW w:type="dxa" w:w="3312"/>
          </w:tcPr>
          <w:p>
            <w:r/>
            <w:r>
              <w:rPr>
                <w:b w:val="0"/>
                <w:sz w:val="18"/>
              </w:rPr>
              <w:t>Mermaid</w:t>
            </w:r>
          </w:p>
        </w:tc>
        <w:tc>
          <w:tcPr>
            <w:tcW w:type="dxa" w:w="3312"/>
          </w:tcPr>
          <w:p>
            <w:r/>
            <w:r>
              <w:rPr>
                <w:b w:val="0"/>
                <w:sz w:val="18"/>
              </w:rPr>
              <w:t>Rendu de diagrammes à partir d'une définition textuelle.</w:t>
            </w:r>
          </w:p>
        </w:tc>
      </w:tr>
      <w:tr>
        <w:tc>
          <w:tcPr>
            <w:tcW w:type="dxa" w:w="3312"/>
          </w:tcPr>
          <w:p>
            <w:r/>
            <w:r>
              <w:rPr>
                <w:b w:val="0"/>
                <w:sz w:val="18"/>
              </w:rPr>
              <w:t>Stockage</w:t>
            </w:r>
          </w:p>
        </w:tc>
        <w:tc>
          <w:tcPr>
            <w:tcW w:type="dxa" w:w="3312"/>
          </w:tcPr>
          <w:p>
            <w:r/>
            <w:r>
              <w:rPr>
                <w:b w:val="0"/>
                <w:sz w:val="18"/>
              </w:rPr>
              <w:t>SQLite</w:t>
            </w:r>
          </w:p>
        </w:tc>
        <w:tc>
          <w:tcPr>
            <w:tcW w:type="dxa" w:w="3312"/>
          </w:tcPr>
          <w:p>
            <w:r/>
            <w:r>
              <w:rPr>
                <w:b w:val="0"/>
                <w:sz w:val="18"/>
              </w:rPr>
              <w:t>Nœuds, documents, relations, métadonnées et index de recherche.</w:t>
            </w:r>
          </w:p>
        </w:tc>
      </w:tr>
      <w:tr>
        <w:tc>
          <w:tcPr>
            <w:tcW w:type="dxa" w:w="3312"/>
          </w:tcPr>
          <w:p>
            <w:r/>
            <w:r>
              <w:rPr>
                <w:b w:val="0"/>
                <w:sz w:val="18"/>
              </w:rPr>
              <w:t>Packaging</w:t>
            </w:r>
          </w:p>
        </w:tc>
        <w:tc>
          <w:tcPr>
            <w:tcW w:type="dxa" w:w="3312"/>
          </w:tcPr>
          <w:p>
            <w:r/>
            <w:r>
              <w:rPr>
                <w:b w:val="0"/>
                <w:sz w:val="18"/>
              </w:rPr>
              <w:t>Electron Forge</w:t>
            </w:r>
          </w:p>
        </w:tc>
        <w:tc>
          <w:tcPr>
            <w:tcW w:type="dxa" w:w="3312"/>
          </w:tcPr>
          <w:p>
            <w:r/>
            <w:r>
              <w:rPr>
                <w:b w:val="0"/>
                <w:sz w:val="18"/>
              </w:rPr>
              <w:t>Compilation et création de l'installateur Windows.</w:t>
            </w:r>
          </w:p>
        </w:tc>
      </w:tr>
      <w:tr>
        <w:tc>
          <w:tcPr>
            <w:tcW w:type="dxa" w:w="3312"/>
          </w:tcPr>
          <w:p>
            <w:r/>
            <w:r>
              <w:rPr>
                <w:b w:val="0"/>
                <w:sz w:val="18"/>
              </w:rPr>
              <w:t>Tests</w:t>
            </w:r>
          </w:p>
        </w:tc>
        <w:tc>
          <w:tcPr>
            <w:tcW w:type="dxa" w:w="3312"/>
          </w:tcPr>
          <w:p>
            <w:r/>
            <w:r>
              <w:rPr>
                <w:b w:val="0"/>
                <w:sz w:val="18"/>
              </w:rPr>
              <w:t>Vitest + React Testing Library + tests Electron</w:t>
            </w:r>
          </w:p>
        </w:tc>
        <w:tc>
          <w:tcPr>
            <w:tcW w:type="dxa" w:w="3312"/>
          </w:tcPr>
          <w:p>
            <w:r/>
            <w:r>
              <w:rPr>
                <w:b w:val="0"/>
                <w:sz w:val="18"/>
              </w:rPr>
              <w:t>Tests unitaires, composants et parcours principaux.</w:t>
            </w:r>
          </w:p>
        </w:tc>
      </w:tr>
    </w:tbl>
    <w:p/>
    <w:p>
      <w:pPr>
        <w:pStyle w:val="Heading2"/>
      </w:pPr>
      <w:r>
        <w:t>4.1 Structure logique</w:t>
      </w:r>
    </w:p>
    <w:p>
      <w:pPr>
        <w:spacing w:after="100"/>
        <w:ind w:left="360"/>
        <w:shd w:fill="F2F4F7"/>
      </w:pPr>
      <w:r>
        <w:rPr>
          <w:rFonts w:ascii="Consolas" w:hAnsi="Consolas"/>
          <w:color w:val="2D2D2D"/>
          <w:sz w:val="18"/>
        </w:rPr>
        <w:t>src/</w:t>
        <w:br/>
        <w:t xml:space="preserve">  main/                 # Processus principal Electron</w:t>
        <w:br/>
        <w:t xml:space="preserve">    database/           # Initialisation, migrations et accès SQLite</w:t>
        <w:br/>
        <w:t xml:space="preserve">    ipc/                # Handlers IPC validés</w:t>
        <w:br/>
        <w:t xml:space="preserve">    filesystem/         # Import/export et pièces jointes</w:t>
        <w:br/>
        <w:t xml:space="preserve">  preload/              # API minimale exposée au renderer</w:t>
        <w:br/>
        <w:t xml:space="preserve">  renderer/</w:t>
        <w:br/>
        <w:t xml:space="preserve">    app/                # Routes et structure générale</w:t>
        <w:br/>
        <w:t xml:space="preserve">    features/</w:t>
        <w:br/>
        <w:t xml:space="preserve">      graph/</w:t>
        <w:br/>
        <w:t xml:space="preserve">      nodes/</w:t>
        <w:br/>
        <w:t xml:space="preserve">      documents/</w:t>
        <w:br/>
        <w:t xml:space="preserve">      editor/</w:t>
        <w:br/>
        <w:t xml:space="preserve">      diagrams/</w:t>
        <w:br/>
        <w:t xml:space="preserve">      search/</w:t>
        <w:br/>
        <w:t xml:space="preserve">      workspace/</w:t>
        <w:br/>
        <w:t xml:space="preserve">      settings/</w:t>
        <w:br/>
        <w:t xml:space="preserve">    components/         # Composants UI réutilisables</w:t>
        <w:br/>
        <w:t xml:space="preserve">    services/           # Accès typés à l'API preload</w:t>
        <w:br/>
        <w:t xml:space="preserve">    types/</w:t>
        <w:br/>
        <w:t xml:space="preserve">  tests/</w:t>
        <w:br/>
      </w:r>
    </w:p>
    <w:p>
      <w:r>
        <w:t>La structure est indicative. Le code doit rester modulaire, avec séparation entre interface, règles métier, persistance et accès système.</w:t>
      </w:r>
    </w:p>
    <w:p>
      <w:pPr>
        <w:pStyle w:val="Heading2"/>
      </w:pPr>
      <w:r>
        <w:t>4.2 Sécurité Electron</w:t>
      </w:r>
    </w:p>
    <w:p>
      <w:pPr>
        <w:pStyle w:val="ListBullet"/>
      </w:pPr>
      <w:r>
        <w:t>Activer contextIsolation et laisser nodeIntegration désactivé dans les fenêtres de rendu.</w:t>
      </w:r>
    </w:p>
    <w:p>
      <w:pPr>
        <w:pStyle w:val="ListBullet"/>
      </w:pPr>
      <w:r>
        <w:t>Exposer au renderer uniquement les opérations nécessaires via preload et contextBridge.</w:t>
      </w:r>
    </w:p>
    <w:p>
      <w:pPr>
        <w:pStyle w:val="ListBullet"/>
      </w:pPr>
      <w:r>
        <w:t>Valider les paramètres de tous les messages IPC côté processus principal.</w:t>
      </w:r>
    </w:p>
    <w:p>
      <w:pPr>
        <w:pStyle w:val="ListBullet"/>
      </w:pPr>
      <w:r>
        <w:t>Ne jamais exposer directement fs, child_process, shell ou l'API Node complète au renderer.</w:t>
      </w:r>
    </w:p>
    <w:p>
      <w:pPr>
        <w:pStyle w:val="ListBullet"/>
      </w:pPr>
      <w:r>
        <w:t>Ne jamais utiliser eval, Function ou un mécanisme équivalent pour traiter du contenu utilisateur.</w:t>
      </w:r>
    </w:p>
    <w:p>
      <w:pPr>
        <w:pStyle w:val="ListBullet"/>
      </w:pPr>
      <w:r>
        <w:t>Traiter les documents importés et les définitions Mermaid comme des données non fiables.</w:t>
      </w:r>
    </w:p>
    <w:p>
      <w:pPr>
        <w:pStyle w:val="ListBullet"/>
      </w:pPr>
      <w:r>
        <w:t>Désactiver la navigation distante non nécessaire et contrôler les ouvertures de liens externes.</w:t>
      </w:r>
    </w:p>
    <w:p>
      <w:pPr>
        <w:pStyle w:val="Heading1"/>
      </w:pPr>
      <w:r>
        <w:t>5. Modèle de données</w:t>
      </w:r>
    </w:p>
    <w:p>
      <w:r>
        <w:t>Le modèle doit séparer les nœuds, les documents qu'ils contiennent, les relations entre nœuds et les fichiers joints. Un contenu long ne doit pas être dupliqué dans les arêtes ni dans les métadonnées de graphe.</w:t>
      </w:r>
    </w:p>
    <w:p>
      <w:pPr>
        <w:pStyle w:val="Heading2"/>
      </w:pPr>
      <w:r>
        <w:t>5.1 Entités principales</w:t>
      </w:r>
    </w:p>
    <w:tbl>
      <w:tblPr>
        <w:tblStyle w:val="LightShading-Accent1"/>
        <w:tblW w:type="auto" w:w="0"/>
        <w:tblLook w:firstColumn="1" w:firstRow="1" w:lastColumn="0" w:lastRow="0" w:noHBand="0" w:noVBand="1" w:val="04A0"/>
      </w:tblPr>
      <w:tblGrid>
        <w:gridCol w:w="3312"/>
        <w:gridCol w:w="3312"/>
        <w:gridCol w:w="3312"/>
      </w:tblGrid>
      <w:tr>
        <w:tc>
          <w:tcPr>
            <w:tcW w:type="dxa" w:w="3312"/>
            <w:shd w:fill="D9EAF7"/>
          </w:tcPr>
          <w:p>
            <w:r/>
            <w:r>
              <w:rPr>
                <w:b/>
                <w:sz w:val="18"/>
              </w:rPr>
              <w:t>Entité</w:t>
            </w:r>
          </w:p>
        </w:tc>
        <w:tc>
          <w:tcPr>
            <w:tcW w:type="dxa" w:w="3312"/>
            <w:shd w:fill="D9EAF7"/>
          </w:tcPr>
          <w:p>
            <w:r/>
            <w:r>
              <w:rPr>
                <w:b/>
                <w:sz w:val="18"/>
              </w:rPr>
              <w:t>Champs indicatifs</w:t>
            </w:r>
          </w:p>
        </w:tc>
        <w:tc>
          <w:tcPr>
            <w:tcW w:type="dxa" w:w="3312"/>
            <w:shd w:fill="D9EAF7"/>
          </w:tcPr>
          <w:p>
            <w:r/>
            <w:r>
              <w:rPr>
                <w:b/>
                <w:sz w:val="18"/>
              </w:rPr>
              <w:t>Règles</w:t>
            </w:r>
          </w:p>
        </w:tc>
      </w:tr>
      <w:tr>
        <w:tc>
          <w:tcPr>
            <w:tcW w:type="dxa" w:w="3312"/>
          </w:tcPr>
          <w:p>
            <w:r/>
            <w:r>
              <w:rPr>
                <w:b w:val="0"/>
                <w:sz w:val="18"/>
              </w:rPr>
              <w:t>Workspace</w:t>
            </w:r>
          </w:p>
        </w:tc>
        <w:tc>
          <w:tcPr>
            <w:tcW w:type="dxa" w:w="3312"/>
          </w:tcPr>
          <w:p>
            <w:r/>
            <w:r>
              <w:rPr>
                <w:b w:val="0"/>
                <w:sz w:val="18"/>
              </w:rPr>
              <w:t>id, name, description, created_at, updated_at, schema_version</w:t>
            </w:r>
          </w:p>
        </w:tc>
        <w:tc>
          <w:tcPr>
            <w:tcW w:type="dxa" w:w="3312"/>
          </w:tcPr>
          <w:p>
            <w:r/>
            <w:r>
              <w:rPr>
                <w:b w:val="0"/>
                <w:sz w:val="18"/>
              </w:rPr>
              <w:t>Un espace de connaissances indépendant.</w:t>
            </w:r>
          </w:p>
        </w:tc>
      </w:tr>
      <w:tr>
        <w:tc>
          <w:tcPr>
            <w:tcW w:type="dxa" w:w="3312"/>
          </w:tcPr>
          <w:p>
            <w:r/>
            <w:r>
              <w:rPr>
                <w:b w:val="0"/>
                <w:sz w:val="18"/>
              </w:rPr>
              <w:t>Node</w:t>
            </w:r>
          </w:p>
        </w:tc>
        <w:tc>
          <w:tcPr>
            <w:tcW w:type="dxa" w:w="3312"/>
          </w:tcPr>
          <w:p>
            <w:r/>
            <w:r>
              <w:rPr>
                <w:b w:val="0"/>
                <w:sz w:val="18"/>
              </w:rPr>
              <w:t>id, workspace_id, parent_id nullable, title, node_type, summary, color nullable, position_x, position_y, created_at, updated_at</w:t>
            </w:r>
          </w:p>
        </w:tc>
        <w:tc>
          <w:tcPr>
            <w:tcW w:type="dxa" w:w="3312"/>
          </w:tcPr>
          <w:p>
            <w:r/>
            <w:r>
              <w:rPr>
                <w:b w:val="0"/>
                <w:sz w:val="18"/>
              </w:rPr>
              <w:t>parent_id construit l'arborescence ; position_x/y sont des coordonnées d'affichage facultatives.</w:t>
            </w:r>
          </w:p>
        </w:tc>
      </w:tr>
      <w:tr>
        <w:tc>
          <w:tcPr>
            <w:tcW w:type="dxa" w:w="3312"/>
          </w:tcPr>
          <w:p>
            <w:r/>
            <w:r>
              <w:rPr>
                <w:b w:val="0"/>
                <w:sz w:val="18"/>
              </w:rPr>
              <w:t>Document</w:t>
            </w:r>
          </w:p>
        </w:tc>
        <w:tc>
          <w:tcPr>
            <w:tcW w:type="dxa" w:w="3312"/>
          </w:tcPr>
          <w:p>
            <w:r/>
            <w:r>
              <w:rPr>
                <w:b w:val="0"/>
                <w:sz w:val="18"/>
              </w:rPr>
              <w:t>id, node_id, title, content_type, body, sort_order, created_at, updated_at</w:t>
            </w:r>
          </w:p>
        </w:tc>
        <w:tc>
          <w:tcPr>
            <w:tcW w:type="dxa" w:w="3312"/>
          </w:tcPr>
          <w:p>
            <w:r/>
            <w:r>
              <w:rPr>
                <w:b w:val="0"/>
                <w:sz w:val="18"/>
              </w:rPr>
              <w:t>Un nœud peut contenir plusieurs documents.</w:t>
            </w:r>
          </w:p>
        </w:tc>
      </w:tr>
      <w:tr>
        <w:tc>
          <w:tcPr>
            <w:tcW w:type="dxa" w:w="3312"/>
          </w:tcPr>
          <w:p>
            <w:r/>
            <w:r>
              <w:rPr>
                <w:b w:val="0"/>
                <w:sz w:val="18"/>
              </w:rPr>
              <w:t>Edge</w:t>
            </w:r>
          </w:p>
        </w:tc>
        <w:tc>
          <w:tcPr>
            <w:tcW w:type="dxa" w:w="3312"/>
          </w:tcPr>
          <w:p>
            <w:r/>
            <w:r>
              <w:rPr>
                <w:b w:val="0"/>
                <w:sz w:val="18"/>
              </w:rPr>
              <w:t>id, workspace_id, source_node_id, target_node_id, relation_type, label, description nullable, created_at, updated_at</w:t>
            </w:r>
          </w:p>
        </w:tc>
        <w:tc>
          <w:tcPr>
            <w:tcW w:type="dxa" w:w="3312"/>
          </w:tcPr>
          <w:p>
            <w:r/>
            <w:r>
              <w:rPr>
                <w:b w:val="0"/>
                <w:sz w:val="18"/>
              </w:rPr>
              <w:t>Les relations transversales sont indépendantes de parent_id.</w:t>
            </w:r>
          </w:p>
        </w:tc>
      </w:tr>
      <w:tr>
        <w:tc>
          <w:tcPr>
            <w:tcW w:type="dxa" w:w="3312"/>
          </w:tcPr>
          <w:p>
            <w:r/>
            <w:r>
              <w:rPr>
                <w:b w:val="0"/>
                <w:sz w:val="18"/>
              </w:rPr>
              <w:t>Attachment</w:t>
            </w:r>
          </w:p>
        </w:tc>
        <w:tc>
          <w:tcPr>
            <w:tcW w:type="dxa" w:w="3312"/>
          </w:tcPr>
          <w:p>
            <w:r/>
            <w:r>
              <w:rPr>
                <w:b w:val="0"/>
                <w:sz w:val="18"/>
              </w:rPr>
              <w:t>id, node_id nullable, document_id nullable, file_name, relative_path, mime_type, size_bytes, checksum, created_at</w:t>
            </w:r>
          </w:p>
        </w:tc>
        <w:tc>
          <w:tcPr>
            <w:tcW w:type="dxa" w:w="3312"/>
          </w:tcPr>
          <w:p>
            <w:r/>
            <w:r>
              <w:rPr>
                <w:b w:val="0"/>
                <w:sz w:val="18"/>
              </w:rPr>
              <w:t>Les fichiers binaires sont stockés dans un dossier de pièces jointes.</w:t>
            </w:r>
          </w:p>
        </w:tc>
      </w:tr>
      <w:tr>
        <w:tc>
          <w:tcPr>
            <w:tcW w:type="dxa" w:w="3312"/>
          </w:tcPr>
          <w:p>
            <w:r/>
            <w:r>
              <w:rPr>
                <w:b w:val="0"/>
                <w:sz w:val="18"/>
              </w:rPr>
              <w:t>Tag</w:t>
            </w:r>
          </w:p>
        </w:tc>
        <w:tc>
          <w:tcPr>
            <w:tcW w:type="dxa" w:w="3312"/>
          </w:tcPr>
          <w:p>
            <w:r/>
            <w:r>
              <w:rPr>
                <w:b w:val="0"/>
                <w:sz w:val="18"/>
              </w:rPr>
              <w:t>id, workspace_id, name, color nullable</w:t>
            </w:r>
          </w:p>
        </w:tc>
        <w:tc>
          <w:tcPr>
            <w:tcW w:type="dxa" w:w="3312"/>
          </w:tcPr>
          <w:p>
            <w:r/>
            <w:r>
              <w:rPr>
                <w:b w:val="0"/>
                <w:sz w:val="18"/>
              </w:rPr>
              <w:t>Les tags sont réutilisables dans un espace.</w:t>
            </w:r>
          </w:p>
        </w:tc>
      </w:tr>
      <w:tr>
        <w:tc>
          <w:tcPr>
            <w:tcW w:type="dxa" w:w="3312"/>
          </w:tcPr>
          <w:p>
            <w:r/>
            <w:r>
              <w:rPr>
                <w:b w:val="0"/>
                <w:sz w:val="18"/>
              </w:rPr>
              <w:t>NodeTag</w:t>
            </w:r>
          </w:p>
        </w:tc>
        <w:tc>
          <w:tcPr>
            <w:tcW w:type="dxa" w:w="3312"/>
          </w:tcPr>
          <w:p>
            <w:r/>
            <w:r>
              <w:rPr>
                <w:b w:val="0"/>
                <w:sz w:val="18"/>
              </w:rPr>
              <w:t>node_id, tag_id</w:t>
            </w:r>
          </w:p>
        </w:tc>
        <w:tc>
          <w:tcPr>
            <w:tcW w:type="dxa" w:w="3312"/>
          </w:tcPr>
          <w:p>
            <w:r/>
            <w:r>
              <w:rPr>
                <w:b w:val="0"/>
                <w:sz w:val="18"/>
              </w:rPr>
              <w:t>Association plusieurs-à-plusieurs.</w:t>
            </w:r>
          </w:p>
        </w:tc>
      </w:tr>
      <w:tr>
        <w:tc>
          <w:tcPr>
            <w:tcW w:type="dxa" w:w="3312"/>
          </w:tcPr>
          <w:p>
            <w:r/>
            <w:r>
              <w:rPr>
                <w:b w:val="0"/>
                <w:sz w:val="18"/>
              </w:rPr>
              <w:t>WorkspaceSettings</w:t>
            </w:r>
          </w:p>
        </w:tc>
        <w:tc>
          <w:tcPr>
            <w:tcW w:type="dxa" w:w="3312"/>
          </w:tcPr>
          <w:p>
            <w:r/>
            <w:r>
              <w:rPr>
                <w:b w:val="0"/>
                <w:sz w:val="18"/>
              </w:rPr>
              <w:t>workspace_id, key, value</w:t>
            </w:r>
          </w:p>
        </w:tc>
        <w:tc>
          <w:tcPr>
            <w:tcW w:type="dxa" w:w="3312"/>
          </w:tcPr>
          <w:p>
            <w:r/>
            <w:r>
              <w:rPr>
                <w:b w:val="0"/>
                <w:sz w:val="18"/>
              </w:rPr>
              <w:t>Paramètres propres à l'espace.</w:t>
            </w:r>
          </w:p>
        </w:tc>
      </w:tr>
      <w:tr>
        <w:tc>
          <w:tcPr>
            <w:tcW w:type="dxa" w:w="3312"/>
          </w:tcPr>
          <w:p>
            <w:r>
              <w:t>LLMExportProfile / Chunk (dérivés, facultatifs en V1)</w:t>
            </w:r>
          </w:p>
        </w:tc>
        <w:tc>
          <w:tcPr>
            <w:tcW w:type="dxa" w:w="3312"/>
          </w:tcPr>
          <w:p>
            <w:r>
              <w:t>profile_id, tokenizer_id/version, target_model nullable, chunk_strategy_version ; chunk_id, source_node_id, source_document_id, content_type, content, hierarchy_path, related_node_ids, chunk_index, token_count nullable</w:t>
            </w:r>
          </w:p>
        </w:tc>
        <w:tc>
          <w:tcPr>
            <w:tcW w:type="dxa" w:w="3312"/>
          </w:tcPr>
          <w:p>
            <w:r>
              <w:t>Données dérivées et régénérables ; ne remplacent jamais les documents sources. Le comptage de tokens doit indiquer le tokenizer utilisé. Les fragments ne sont stockés durablement que si cela apporte un bénéfice mesuré.</w:t>
            </w:r>
          </w:p>
        </w:tc>
      </w:tr>
    </w:tbl>
    <w:p/>
    <w:p>
      <w:pPr>
        <w:pStyle w:val="Heading2"/>
      </w:pPr>
      <w:r>
        <w:t>5.2 Types de nœuds</w:t>
      </w:r>
    </w:p>
    <w:p>
      <w:pPr>
        <w:pStyle w:val="ListBullet"/>
      </w:pPr>
      <w:r>
        <w:t>Concept : notion, technologie ou définition.</w:t>
      </w:r>
    </w:p>
    <w:p>
      <w:pPr>
        <w:pStyle w:val="ListBullet"/>
      </w:pPr>
      <w:r>
        <w:t>Composant : service, module, application ou système.</w:t>
      </w:r>
    </w:p>
    <w:p>
      <w:pPr>
        <w:pStyle w:val="ListBullet"/>
      </w:pPr>
      <w:r>
        <w:t>Donnée : table, schéma, événement, dataset ou modèle.</w:t>
      </w:r>
    </w:p>
    <w:p>
      <w:pPr>
        <w:pStyle w:val="ListBullet"/>
      </w:pPr>
      <w:r>
        <w:t>Procédure : processus, recette technique ou runbook.</w:t>
      </w:r>
    </w:p>
    <w:p>
      <w:pPr>
        <w:pStyle w:val="ListBullet"/>
      </w:pPr>
      <w:r>
        <w:t>Ressource : lien externe, référence ou document.</w:t>
      </w:r>
    </w:p>
    <w:p>
      <w:pPr>
        <w:pStyle w:val="ListBullet"/>
      </w:pPr>
      <w:r>
        <w:t>Générique : type libre, personnalisable ultérieurement.</w:t>
      </w:r>
    </w:p>
    <w:p>
      <w:pPr>
        <w:pStyle w:val="Heading2"/>
      </w:pPr>
      <w:r>
        <w:t>5.3 Types de relations</w:t>
      </w:r>
    </w:p>
    <w:p>
      <w:r>
        <w:t>Les relations doivent avoir un type explicite, par exemple : dépend de, utilise, implémente, alimente, consomme, décrit, remplace, est lié à. Les types sont extensibles. L'interface doit pouvoir afficher une étiquette sur les arêtes.</w:t>
      </w:r>
    </w:p>
    <w:p>
      <w:pPr>
        <w:pStyle w:val="Heading2"/>
      </w:pPr>
      <w:r>
        <w:t>5.4 Contraintes d'intégrité</w:t>
      </w:r>
    </w:p>
    <w:p>
      <w:pPr>
        <w:pStyle w:val="ListBullet"/>
      </w:pPr>
      <w:r>
        <w:t>Un nœud ne peut pas être son propre parent.</w:t>
      </w:r>
    </w:p>
    <w:p>
      <w:pPr>
        <w:pStyle w:val="ListBullet"/>
      </w:pPr>
      <w:r>
        <w:t>L'arborescence ne doit pas permettre de cycle parent-enfant.</w:t>
      </w:r>
    </w:p>
    <w:p>
      <w:pPr>
        <w:pStyle w:val="ListBullet"/>
      </w:pPr>
      <w:r>
        <w:t>Les deux extrémités d'une relation doivent appartenir au même espace de connaissances.</w:t>
      </w:r>
    </w:p>
    <w:p>
      <w:pPr>
        <w:pStyle w:val="ListBullet"/>
      </w:pPr>
      <w:r>
        <w:t>La suppression d'un nœud doit proposer une stratégie explicite pour ses enfants et ses relations.</w:t>
      </w:r>
    </w:p>
    <w:p>
      <w:pPr>
        <w:pStyle w:val="ListBullet"/>
      </w:pPr>
      <w:r>
        <w:t>Les suppressions en cascade ne doivent jamais supprimer silencieusement des données sans confirmation adaptée.</w:t>
      </w:r>
    </w:p>
    <w:p>
      <w:pPr>
        <w:pStyle w:val="ListBullet"/>
      </w:pPr>
      <w:r>
        <w:t>Les migrations de schéma SQLite doivent être versionnées et testées.</w:t>
      </w:r>
    </w:p>
    <w:p>
      <w:pPr>
        <w:pStyle w:val="Heading1"/>
      </w:pPr>
      <w:r>
        <w:t>6. Spécifications fonctionnelles</w:t>
      </w:r>
    </w:p>
    <w:p>
      <w:pPr>
        <w:pStyle w:val="Heading2"/>
      </w:pPr>
      <w:r>
        <w:t>6.1 Gestion des espaces de connaissances</w:t>
      </w:r>
    </w:p>
    <w:p>
      <w:pPr>
        <w:pStyle w:val="ListBullet"/>
      </w:pPr>
      <w:r>
        <w:t>Créer, ouvrir, renommer et supprimer un espace de connaissances.</w:t>
      </w:r>
    </w:p>
    <w:p>
      <w:pPr>
        <w:pStyle w:val="ListBullet"/>
      </w:pPr>
      <w:r>
        <w:t>Afficher les espaces récents et le chemin du fichier ou dossier associé.</w:t>
      </w:r>
    </w:p>
    <w:p>
      <w:pPr>
        <w:pStyle w:val="ListBullet"/>
      </w:pPr>
      <w:r>
        <w:t>Permettre à l'utilisateur de choisir un emplacement local.</w:t>
      </w:r>
    </w:p>
    <w:p>
      <w:pPr>
        <w:pStyle w:val="ListBullet"/>
      </w:pPr>
      <w:r>
        <w:t>Afficher un état de sauvegarde et prévenir en cas de fermeture avec des modifications non persistées.</w:t>
      </w:r>
    </w:p>
    <w:p>
      <w:pPr>
        <w:pStyle w:val="Heading2"/>
      </w:pPr>
      <w:r>
        <w:t>6.2 Gestion des nœuds et sous-nœuds</w:t>
      </w:r>
    </w:p>
    <w:p>
      <w:pPr>
        <w:pStyle w:val="ListBullet"/>
      </w:pPr>
      <w:r>
        <w:t>Créer un nœud depuis l'arborescence, le graphe ou le contexte d'un nœud parent.</w:t>
      </w:r>
    </w:p>
    <w:p>
      <w:pPr>
        <w:pStyle w:val="ListBullet"/>
      </w:pPr>
      <w:r>
        <w:t>Renommer, déplacer, dupliquer et supprimer un nœud.</w:t>
      </w:r>
    </w:p>
    <w:p>
      <w:pPr>
        <w:pStyle w:val="ListBullet"/>
      </w:pPr>
      <w:r>
        <w:t>Créer des sous-nœuds sans limite artificielle imposée par l'interface.</w:t>
      </w:r>
    </w:p>
    <w:p>
      <w:pPr>
        <w:pStyle w:val="ListBullet"/>
      </w:pPr>
      <w:r>
        <w:t>Déplacer un nœud dans l'arborescence sans modifier ses relations transversales.</w:t>
      </w:r>
    </w:p>
    <w:p>
      <w:pPr>
        <w:pStyle w:val="ListBullet"/>
      </w:pPr>
      <w:r>
        <w:t>Afficher le chemin hiérarchique du nœud courant.</w:t>
      </w:r>
    </w:p>
    <w:p>
      <w:pPr>
        <w:pStyle w:val="ListBullet"/>
      </w:pPr>
      <w:r>
        <w:t>Ajouter une description courte, un type, des tags et une couleur optionnelle.</w:t>
      </w:r>
    </w:p>
    <w:p>
      <w:pPr>
        <w:pStyle w:val="ListBullet"/>
      </w:pPr>
      <w:r>
        <w:t>Préserver les identifiants lors d'un renommage ou d'un déplacement.</w:t>
      </w:r>
    </w:p>
    <w:p>
      <w:pPr>
        <w:pStyle w:val="Heading2"/>
      </w:pPr>
      <w:r>
        <w:t>6.3 Gestion des documents</w:t>
      </w:r>
    </w:p>
    <w:p>
      <w:pPr>
        <w:pStyle w:val="ListBullet"/>
      </w:pPr>
      <w:r>
        <w:t>Créer plusieurs documents au sein d'un même nœud.</w:t>
      </w:r>
    </w:p>
    <w:p>
      <w:pPr>
        <w:pStyle w:val="ListBullet"/>
      </w:pPr>
      <w:r>
        <w:t>Prendre en charge au minimum Markdown, texte brut et JSON ; les autres types (code, Mermaid) sont décrits dans leurs sections dédiées.</w:t>
      </w:r>
    </w:p>
    <w:p>
      <w:pPr>
        <w:pStyle w:val="ListBullet"/>
      </w:pPr>
      <w:r>
        <w:t>Permettre l'édition, l'enregistrement automatique avec délai et la prévisualisation.</w:t>
      </w:r>
    </w:p>
    <w:p>
      <w:pPr>
        <w:pStyle w:val="ListBullet"/>
      </w:pPr>
      <w:r>
        <w:t>Gérer titres, listes, tableaux, liens, citations et blocs de code.</w:t>
      </w:r>
    </w:p>
    <w:p>
      <w:pPr>
        <w:pStyle w:val="ListBullet"/>
      </w:pPr>
      <w:r>
        <w:t>Afficher les liens internes vers d'autres nœuds et permettre leur ouverture.</w:t>
      </w:r>
    </w:p>
    <w:p>
      <w:pPr>
        <w:pStyle w:val="ListBullet"/>
      </w:pPr>
      <w:r>
        <w:t>Conserver le contenu source et éviter toute perte lors du passage entre édition et prévisualisation.</w:t>
      </w:r>
    </w:p>
    <w:p>
      <w:pPr>
        <w:pStyle w:val="Heading2"/>
      </w:pPr>
      <w:r>
        <w:t>6.4 Code source stocké</w:t>
      </w:r>
    </w:p>
    <w:p>
      <w:pPr>
        <w:pStyle w:val="ListBullet"/>
      </w:pPr>
      <w:r>
        <w:t>Conserver le code comme texte, soit dans un document, soit dans un bloc dédié.</w:t>
      </w:r>
    </w:p>
    <w:p>
      <w:pPr>
        <w:pStyle w:val="ListBullet"/>
      </w:pPr>
      <w:r>
        <w:t>Coloration syntaxique pour les langages courants : Java, JavaScript/TypeScript, Python, SQL, Go, JSON, YAML, Bash et C/C++.</w:t>
      </w:r>
    </w:p>
    <w:p>
      <w:pPr>
        <w:pStyle w:val="ListBullet"/>
      </w:pPr>
      <w:r>
        <w:t>Afficher les numéros de ligne et proposer une action de copie.</w:t>
      </w:r>
    </w:p>
    <w:p>
      <w:pPr>
        <w:pStyle w:val="ListBullet"/>
      </w:pPr>
      <w:r>
        <w:t>Permettre de modifier le code enregistré et de sauvegarder les changements.</w:t>
      </w:r>
    </w:p>
    <w:p>
      <w:pPr>
        <w:pStyle w:val="ListBullet"/>
      </w:pPr>
      <w:r>
        <w:t>Ne proposer aucune action Run, Execute, Compile, Debug ou Terminal.</w:t>
      </w:r>
    </w:p>
    <w:p>
      <w:pPr>
        <w:pStyle w:val="ListBullet"/>
      </w:pPr>
      <w:r>
        <w:t>Ne pas lancer de processus, de shell ou de runtime à partir du code sauvegardé.</w:t>
      </w:r>
    </w:p>
    <w:p>
      <w:pPr>
        <w:pStyle w:val="Heading2"/>
      </w:pPr>
      <w:r>
        <w:t>6.5 Diagrammes et schémas</w:t>
      </w:r>
    </w:p>
    <w:p>
      <w:pPr>
        <w:pStyle w:val="Heading2"/>
      </w:pPr>
      <w:r>
        <w:t>6.5 JSON et données structurées</w:t>
      </w:r>
    </w:p>
    <w:p>
      <w:pPr/>
      <w:r>
        <w:t>Prendre en charge les documents JSON comme un type de contenu de première classe dans un nœud, au même titre que Markdown, le code et les diagrammes.</w:t>
      </w:r>
    </w:p>
    <w:p>
      <w:pPr/>
      <w:r>
        <w:t>Permettre de créer, coller, modifier, enregistrer, copier et prévisualiser du JSON. La coloration syntaxique doit être disponible et la validation de syntaxe doit afficher les erreurs sans bloquer l’édition.</w:t>
      </w:r>
    </w:p>
    <w:p>
      <w:pPr/>
      <w:r>
        <w:t>Conserver le texte JSON source de manière fidèle. Une mise en forme/indentation automatique peut être proposée comme action explicite, sans réécriture silencieuse du contenu.</w:t>
      </w:r>
    </w:p>
    <w:p>
      <w:pPr/>
      <w:r>
        <w:t>Ne pas confondre JSON utilisé comme contenu documentaire avec le format TOON utilisé pour exporter certaines données structurées vers des LLM. Un document JSON enregistré dans un nœud reste du JSON et n’est jamais converti automatiquement en TOON.</w:t>
      </w:r>
    </w:p>
    <w:p>
      <w:pPr/>
      <w:r>
        <w:t>Le JSON est une donnée inerte : aucun contenu, champ, URL ou instruction qu’il contient ne doit être exécuté, interprété comme du code applicatif ou déclencher une action externe.</w:t>
      </w:r>
    </w:p>
    <w:p>
      <w:pPr/>
      <w:r>
        <w:t>Prévoir, si utile, une vue arborescente/pliable des objets et tableaux JSON, en complément de l’éditeur texte. Cette vue ne doit pas remplacer ni altérer la source.</w:t>
      </w:r>
    </w:p>
    <w:p>
      <w:pPr>
        <w:pStyle w:val="Heading2"/>
      </w:pPr>
      <w:r>
        <w:t>6.6 Export orienté LLM et préparation à un agent futur</w:t>
      </w:r>
    </w:p>
    <w:p>
      <w:pPr/>
      <w:r>
        <w:t>La V1 ne contient pas d’agent IA ni de connexion à un modèle distant. Elle doit néanmoins proposer une couche d’export indépendante de l’interface et du stockage, afin de préparer cette évolution.</w:t>
      </w:r>
    </w:p>
    <w:p>
      <w:pPr/>
      <w:r>
        <w:t>Utiliser TOON (Token-Oriented Object Notation) comme format d’export privilégié pour les données structurées répétitives du graphe : nœuds, relations, types, tags, chemins hiérarchiques et métadonnées utiles. L’export doit respecter la spécification TOON et être couvert par des tests.</w:t>
      </w:r>
    </w:p>
    <w:p>
      <w:pPr/>
      <w:r>
        <w:t>TOON est un format de sérialisation, pas un tokenizer, pas une base de données et pas un mécanisme de chunking. Ne pas supposer qu’il réduit toujours le nombre de tokens : mesurer le résultat sur des jeux de données représentatifs et conserver un export JSON de secours/interopérabilité.</w:t>
      </w:r>
    </w:p>
    <w:p>
      <w:pPr/>
      <w:r>
        <w:t>Les documents Markdown, blocs de code, documents JSON et diagrammes doivent rester disponibles dans leur format source. L’export peut les référencer ou les joindre comme contenu séparé ; il ne doit pas les transformer aveuglément en TOON.</w:t>
      </w:r>
    </w:p>
    <w:p>
      <w:pPr/>
      <w:r>
        <w:t>Prévoir l’export complet ou sélectif d’un espace, d’un nœud, d’un sous-arbre ou d’un voisinage de graphe à N niveaux. Les références doivent permettre de relier chaque document et fragment à son nœud, son document, son parent et ses relations.</w:t>
      </w:r>
    </w:p>
    <w:p>
      <w:pPr/>
      <w:r>
        <w:t>Définir une couche de préparation LLM qui peut produire des fragments dérivés (« chunks ») sans modifier les sources. Conserver pour chaque fragment un identifiant stable ou reproductible, le type de contenu, les identifiants source, le chemin hiérarchique, les références liées, l’ordre et la version de la stratégie de découpage.</w:t>
      </w:r>
    </w:p>
    <w:p>
      <w:pPr/>
      <w:r>
        <w:t>Le découpage doit respecter la structure du contenu : sections/titres/paragraphes pour Markdown ; fonctions/classes ou blocs logiques pour le code ; requêtes, procédures ou définitions pour SQL ; objets/tableaux et chemins JSON pour les documents JSON ; diagrammes conservés comme unités cohérentes autant que possible ; tableaux accompagnés de leurs en-têtes.</w:t>
      </w:r>
    </w:p>
    <w:p>
      <w:pPr/>
      <w:r>
        <w:t>La taille des fragments doit être configurable et mesurée en tokens par un tokenizer explicitement identifié (nom, version et modèle cible si applicable). Ne jamais présenter un nombre de caractères ou de mots comme un nombre exact de tokens. Les tailles par défaut seront des paramètres ajustables et non des constantes irréversibles.</w:t>
      </w:r>
    </w:p>
    <w:p>
      <w:pPr/>
      <w:r>
        <w:t>Les fragments sont des données dérivées régénérables. Toute modification d’un document doit permettre de détecter les fragments obsolètes et de les reconstruire sans perte ni altération de la source.</w:t>
      </w:r>
    </w:p>
    <w:p>
      <w:pPr/>
      <w:r>
        <w:t>Prévoir une version du schéma d’export, une documentation de la structure TOON/JSON produite, une gestion des erreurs et des tests de round-trip lorsque le format le permet.</w:t>
      </w:r>
    </w:p>
    <w:p>
      <w:pPr>
        <w:pStyle w:val="ListBullet"/>
      </w:pPr>
      <w:r>
        <w:t>Permettre d'ajouter un document de type diagramme Mermaid.</w:t>
      </w:r>
    </w:p>
    <w:p>
      <w:pPr>
        <w:pStyle w:val="ListBullet"/>
      </w:pPr>
      <w:r>
        <w:t>Afficher l'éditeur source et le rendu visuel.</w:t>
      </w:r>
    </w:p>
    <w:p>
      <w:pPr>
        <w:pStyle w:val="ListBullet"/>
      </w:pPr>
      <w:r>
        <w:t>Prendre en charge au minimum les flowcharts, séquences, classes et diagrammes de relations lorsque Mermaid le permet.</w:t>
      </w:r>
    </w:p>
    <w:p>
      <w:pPr>
        <w:pStyle w:val="ListBullet"/>
      </w:pPr>
      <w:r>
        <w:t>Afficher une erreur de syntaxe sans faire planter l'application.</w:t>
      </w:r>
    </w:p>
    <w:p>
      <w:pPr>
        <w:pStyle w:val="ListBullet"/>
      </w:pPr>
      <w:r>
        <w:t>Ne pas charger de scripts, ressources ou modules distants à partir du contenu du diagramme.</w:t>
      </w:r>
    </w:p>
    <w:p>
      <w:pPr>
        <w:pStyle w:val="ListBullet"/>
      </w:pPr>
      <w:r>
        <w:t>Un éditeur graphique libre par glisser-déposer est optionnel et hors du socle obligatoire V1.</w:t>
      </w:r>
    </w:p>
    <w:p>
      <w:pPr>
        <w:pStyle w:val="Heading2"/>
      </w:pPr>
      <w:r>
        <w:t>6.7 Graphe interactif</w:t>
      </w:r>
    </w:p>
    <w:p>
      <w:pPr>
        <w:pStyle w:val="ListBullet"/>
      </w:pPr>
      <w:r>
        <w:t>Afficher les nœuds et les relations transversales dans une vue graphe.</w:t>
      </w:r>
    </w:p>
    <w:p>
      <w:pPr>
        <w:pStyle w:val="ListBullet"/>
      </w:pPr>
      <w:r>
        <w:t>Zoom, déplacement de la vue, sélection, déplacement de nœuds et recentrage.</w:t>
      </w:r>
    </w:p>
    <w:p>
      <w:pPr>
        <w:pStyle w:val="ListBullet"/>
      </w:pPr>
      <w:r>
        <w:t>Afficher le titre et le type du nœud ; limiter les informations affichées pour éviter la surcharge.</w:t>
      </w:r>
    </w:p>
    <w:p>
      <w:pPr>
        <w:pStyle w:val="ListBullet"/>
      </w:pPr>
      <w:r>
        <w:t>Créer une relation en sélectionnant une source, une cible et un type de relation.</w:t>
      </w:r>
    </w:p>
    <w:p>
      <w:pPr>
        <w:pStyle w:val="ListBullet"/>
      </w:pPr>
      <w:r>
        <w:t>Supprimer ou modifier une relation sans supprimer les nœuds concernés.</w:t>
      </w:r>
    </w:p>
    <w:p>
      <w:pPr>
        <w:pStyle w:val="ListBullet"/>
      </w:pPr>
      <w:r>
        <w:t>Cliquer sur un nœud pour ouvrir sa fiche dans un panneau ou une vue dédiée.</w:t>
      </w:r>
    </w:p>
    <w:p>
      <w:pPr>
        <w:pStyle w:val="ListBullet"/>
      </w:pPr>
      <w:r>
        <w:t>Afficher le voisinage direct d'un nœud et proposer un nombre de niveaux à explorer.</w:t>
      </w:r>
    </w:p>
    <w:p>
      <w:pPr>
        <w:pStyle w:val="ListBullet"/>
      </w:pPr>
      <w:r>
        <w:t>Filtrer par type de nœud, tag et type de relation.</w:t>
      </w:r>
    </w:p>
    <w:p>
      <w:pPr>
        <w:pStyle w:val="ListBullet"/>
      </w:pPr>
      <w:r>
        <w:t>Proposer une disposition automatique et conserver la possibilité de déplacer manuellement les nœuds.</w:t>
      </w:r>
    </w:p>
    <w:p>
      <w:pPr>
        <w:pStyle w:val="ListBullet"/>
      </w:pPr>
      <w:r>
        <w:t>Persister les coordonnées visuelles lorsque cela améliore la lisibilité.</w:t>
      </w:r>
    </w:p>
    <w:p>
      <w:pPr>
        <w:pStyle w:val="Heading2"/>
      </w:pPr>
      <w:r>
        <w:t>6.8 Recherche</w:t>
      </w:r>
    </w:p>
    <w:p>
      <w:pPr>
        <w:pStyle w:val="ListBullet"/>
      </w:pPr>
      <w:r>
        <w:t>Recherche globale par titre, résumé, contenu documentaire et code sauvegardé.</w:t>
      </w:r>
    </w:p>
    <w:p>
      <w:pPr>
        <w:pStyle w:val="ListBullet"/>
      </w:pPr>
      <w:r>
        <w:t>Résultats regroupés par nœud et document, avec extrait de contexte.</w:t>
      </w:r>
    </w:p>
    <w:p>
      <w:pPr>
        <w:pStyle w:val="ListBullet"/>
      </w:pPr>
      <w:r>
        <w:t>Ouverture directe du résultat et mise en évidence de la correspondance si possible.</w:t>
      </w:r>
    </w:p>
    <w:p>
      <w:pPr>
        <w:pStyle w:val="ListBullet"/>
      </w:pPr>
      <w:r>
        <w:t>Filtres par type, tag et espace.</w:t>
      </w:r>
    </w:p>
    <w:p>
      <w:pPr>
        <w:pStyle w:val="ListBullet"/>
      </w:pPr>
      <w:r>
        <w:t>Utiliser SQLite FTS5 si disponible dans la distribution retenue ; prévoir une solution de repli testée.</w:t>
      </w:r>
    </w:p>
    <w:p>
      <w:pPr>
        <w:pStyle w:val="Heading2"/>
      </w:pPr>
      <w:r>
        <w:t>6.9 Sauvegarde, import et export</w:t>
      </w:r>
    </w:p>
    <w:p>
      <w:pPr>
        <w:pStyle w:val="ListBullet"/>
      </w:pPr>
      <w:r>
        <w:t>Sauvegarde automatique des changements avec gestion des erreurs et indicateur d'état.</w:t>
      </w:r>
    </w:p>
    <w:p>
      <w:pPr>
        <w:pStyle w:val="ListBullet"/>
      </w:pPr>
      <w:r>
        <w:t>Export complet d'un espace dans un format portable documenté, par exemple un dossier contenant JSON, Markdown et pièces jointes.</w:t>
      </w:r>
    </w:p>
    <w:p>
      <w:pPr>
        <w:pStyle w:val="ListBullet"/>
      </w:pPr>
      <w:r>
        <w:t>Import d'un export compatible avec validation préalable et rapport d'erreurs.</w:t>
      </w:r>
    </w:p>
    <w:p>
      <w:pPr>
        <w:pStyle w:val="ListBullet"/>
      </w:pPr>
      <w:r>
        <w:t>Proposer une sauvegarde de secours avant une importation qui modifie des données existantes.</w:t>
      </w:r>
    </w:p>
    <w:p>
      <w:pPr>
        <w:pStyle w:val="ListBullet"/>
      </w:pPr>
      <w:r>
        <w:t>Ne pas dépendre uniquement d'un fichier de base SQLite opaque pour la portabilité à long terme.</w:t>
      </w:r>
    </w:p>
    <w:p>
      <w:pPr>
        <w:pStyle w:val="ListBullet"/>
      </w:pPr>
      <w:r>
        <w:t>Prévoir une commande ou une action de vérification de l'intégrité de la base.</w:t>
      </w:r>
    </w:p>
    <w:p>
      <w:pPr>
        <w:pStyle w:val="Heading1"/>
      </w:pPr>
      <w:r>
        <w:t>7. UX et structure de l'interface</w:t>
      </w:r>
    </w:p>
    <w:tbl>
      <w:tblPr>
        <w:tblStyle w:val="LightShading-Accent1"/>
        <w:tblW w:type="auto" w:w="0"/>
        <w:tblLook w:firstColumn="1" w:firstRow="1" w:lastColumn="0" w:lastRow="0" w:noHBand="0" w:noVBand="1" w:val="04A0"/>
      </w:tblPr>
      <w:tblGrid>
        <w:gridCol w:w="4968"/>
        <w:gridCol w:w="4968"/>
      </w:tblGrid>
      <w:tr>
        <w:tc>
          <w:tcPr>
            <w:tcW w:type="dxa" w:w="4968"/>
            <w:shd w:fill="D9EAF7"/>
          </w:tcPr>
          <w:p>
            <w:r/>
            <w:r>
              <w:rPr>
                <w:b/>
                <w:sz w:val="18"/>
              </w:rPr>
              <w:t>Zone</w:t>
            </w:r>
          </w:p>
        </w:tc>
        <w:tc>
          <w:tcPr>
            <w:tcW w:type="dxa" w:w="4968"/>
            <w:shd w:fill="D9EAF7"/>
          </w:tcPr>
          <w:p>
            <w:r/>
            <w:r>
              <w:rPr>
                <w:b/>
                <w:sz w:val="18"/>
              </w:rPr>
              <w:t>Responsabilité</w:t>
            </w:r>
          </w:p>
        </w:tc>
      </w:tr>
      <w:tr>
        <w:tc>
          <w:tcPr>
            <w:tcW w:type="dxa" w:w="4968"/>
          </w:tcPr>
          <w:p>
            <w:r/>
            <w:r>
              <w:rPr>
                <w:b w:val="0"/>
                <w:sz w:val="18"/>
              </w:rPr>
              <w:t>Barre supérieure</w:t>
            </w:r>
          </w:p>
        </w:tc>
        <w:tc>
          <w:tcPr>
            <w:tcW w:type="dxa" w:w="4968"/>
          </w:tcPr>
          <w:p>
            <w:r/>
            <w:r>
              <w:rPr>
                <w:b w:val="0"/>
                <w:sz w:val="18"/>
              </w:rPr>
              <w:t>Recherche globale, espace actif, création rapide, commandes principales.</w:t>
            </w:r>
          </w:p>
        </w:tc>
      </w:tr>
      <w:tr>
        <w:tc>
          <w:tcPr>
            <w:tcW w:type="dxa" w:w="4968"/>
          </w:tcPr>
          <w:p>
            <w:r/>
            <w:r>
              <w:rPr>
                <w:b w:val="0"/>
                <w:sz w:val="18"/>
              </w:rPr>
              <w:t>Panneau gauche</w:t>
            </w:r>
          </w:p>
        </w:tc>
        <w:tc>
          <w:tcPr>
            <w:tcW w:type="dxa" w:w="4968"/>
          </w:tcPr>
          <w:p>
            <w:r/>
            <w:r>
              <w:rPr>
                <w:b w:val="0"/>
                <w:sz w:val="18"/>
              </w:rPr>
              <w:t>Arborescence des nœuds, tags, filtres et espaces récents.</w:t>
            </w:r>
          </w:p>
        </w:tc>
      </w:tr>
      <w:tr>
        <w:tc>
          <w:tcPr>
            <w:tcW w:type="dxa" w:w="4968"/>
          </w:tcPr>
          <w:p>
            <w:r/>
            <w:r>
              <w:rPr>
                <w:b w:val="0"/>
                <w:sz w:val="18"/>
              </w:rPr>
              <w:t>Zone centrale</w:t>
            </w:r>
          </w:p>
        </w:tc>
        <w:tc>
          <w:tcPr>
            <w:tcW w:type="dxa" w:w="4968"/>
          </w:tcPr>
          <w:p>
            <w:r/>
            <w:r>
              <w:rPr>
                <w:b w:val="0"/>
                <w:sz w:val="18"/>
              </w:rPr>
              <w:t>Vue graphe ou contenu documentaire ; navigation par onglets possible.</w:t>
            </w:r>
          </w:p>
        </w:tc>
      </w:tr>
      <w:tr>
        <w:tc>
          <w:tcPr>
            <w:tcW w:type="dxa" w:w="4968"/>
          </w:tcPr>
          <w:p>
            <w:r/>
            <w:r>
              <w:rPr>
                <w:b w:val="0"/>
                <w:sz w:val="18"/>
              </w:rPr>
              <w:t>Panneau droit</w:t>
            </w:r>
          </w:p>
        </w:tc>
        <w:tc>
          <w:tcPr>
            <w:tcW w:type="dxa" w:w="4968"/>
          </w:tcPr>
          <w:p>
            <w:r/>
            <w:r>
              <w:rPr>
                <w:b w:val="0"/>
                <w:sz w:val="18"/>
              </w:rPr>
              <w:t>Propriétés, relations entrantes/sortantes, tags et métadonnées.</w:t>
            </w:r>
          </w:p>
        </w:tc>
      </w:tr>
      <w:tr>
        <w:tc>
          <w:tcPr>
            <w:tcW w:type="dxa" w:w="4968"/>
          </w:tcPr>
          <w:p>
            <w:r/>
            <w:r>
              <w:rPr>
                <w:b w:val="0"/>
                <w:sz w:val="18"/>
              </w:rPr>
              <w:t>Barre d'état</w:t>
            </w:r>
          </w:p>
        </w:tc>
        <w:tc>
          <w:tcPr>
            <w:tcW w:type="dxa" w:w="4968"/>
          </w:tcPr>
          <w:p>
            <w:r/>
            <w:r>
              <w:rPr>
                <w:b w:val="0"/>
                <w:sz w:val="18"/>
              </w:rPr>
              <w:t>État de sauvegarde, espace actif et éventuelles erreurs non bloquantes.</w:t>
            </w:r>
          </w:p>
        </w:tc>
      </w:tr>
    </w:tbl>
    <w:p/>
    <w:p>
      <w:pPr>
        <w:pStyle w:val="Heading2"/>
      </w:pPr>
      <w:r>
        <w:t>7.1 Principes d'ergonomie</w:t>
      </w:r>
    </w:p>
    <w:p>
      <w:pPr>
        <w:pStyle w:val="ListBullet"/>
      </w:pPr>
      <w:r>
        <w:t>Interface desktop sobre, cohérente, adaptée à de longues sessions de documentation.</w:t>
      </w:r>
    </w:p>
    <w:p>
      <w:pPr>
        <w:pStyle w:val="ListBullet"/>
      </w:pPr>
      <w:r>
        <w:t>Thème sombre et thème clair si le coût reste raisonnable ; mémoriser la préférence.</w:t>
      </w:r>
    </w:p>
    <w:p>
      <w:pPr>
        <w:pStyle w:val="ListBullet"/>
      </w:pPr>
      <w:r>
        <w:t>Raccourcis clavier pour créer un nœud, rechercher, sauvegarder et naviguer.</w:t>
      </w:r>
    </w:p>
    <w:p>
      <w:pPr>
        <w:pStyle w:val="ListBullet"/>
      </w:pPr>
      <w:r>
        <w:t>Ne pas imposer l'affichage simultané de tous les nœuds.</w:t>
      </w:r>
    </w:p>
    <w:p>
      <w:pPr>
        <w:pStyle w:val="ListBullet"/>
      </w:pPr>
      <w:r>
        <w:t>Conserver le contexte de navigation lors de l'ouverture et de la fermeture d'une fiche.</w:t>
      </w:r>
    </w:p>
    <w:p>
      <w:pPr>
        <w:pStyle w:val="ListBullet"/>
      </w:pPr>
      <w:r>
        <w:t>Prévoir des états vides explicites, des confirmations de suppression et des messages d'erreur actionnables.</w:t>
      </w:r>
    </w:p>
    <w:p>
      <w:pPr>
        <w:pStyle w:val="Heading1"/>
      </w:pPr>
      <w:r>
        <w:t>8. Stockage et organisation des fichiers</w:t>
      </w:r>
    </w:p>
    <w:p>
      <w:r>
        <w:t>Recommandation : un espace de connaissances est un projet local autonome. Il peut être représenté par un fichier projet ou par un dossier contenant la base SQLite et les pièces jointes. Le format exact doit être choisi avant l'implémentation et documenté. Un dossier de projet facilite les sauvegardes et l'inspection des fichiers ; un fichier unique facilite le déplacement.</w:t>
      </w:r>
    </w:p>
    <w:p>
      <w:pPr>
        <w:spacing w:after="100"/>
        <w:ind w:left="360"/>
        <w:shd w:fill="F2F4F7"/>
      </w:pPr>
      <w:r>
        <w:rPr>
          <w:rFonts w:ascii="Consolas" w:hAnsi="Consolas"/>
          <w:color w:val="2D2D2D"/>
          <w:sz w:val="18"/>
        </w:rPr>
        <w:t>Exemple d'organisation possible :</w:t>
        <w:br/>
        <w:t>MonKnowledgeBase/</w:t>
        <w:br/>
        <w:t xml:space="preserve">  knowledge.sqlite</w:t>
        <w:br/>
        <w:t xml:space="preserve">  attachments/</w:t>
        <w:br/>
        <w:t xml:space="preserve">    &lt;attachment-id&gt;/</w:t>
        <w:br/>
        <w:t xml:space="preserve">  exports/</w:t>
        <w:br/>
      </w:r>
    </w:p>
    <w:p>
      <w:r>
        <w:t>Les chemins des pièces jointes doivent être relatifs au projet lorsque c'est possible. Les données doivent survivre à un déplacement du projet vers un autre répertoire. Les opérations de sauvegarde doivent utiliser des transactions SQLite lorsque nécessaire.</w:t>
      </w:r>
    </w:p>
    <w:p>
      <w:pPr>
        <w:pStyle w:val="Heading1"/>
      </w:pPr>
      <w:r>
        <w:t>9. Exigences non fonctionnelles</w:t>
      </w:r>
    </w:p>
    <w:tbl>
      <w:tblPr>
        <w:tblStyle w:val="LightShading-Accent1"/>
        <w:tblW w:type="auto" w:w="0"/>
        <w:tblLook w:firstColumn="1" w:firstRow="1" w:lastColumn="0" w:lastRow="0" w:noHBand="0" w:noVBand="1" w:val="04A0"/>
      </w:tblPr>
      <w:tblGrid>
        <w:gridCol w:w="4968"/>
        <w:gridCol w:w="4968"/>
      </w:tblGrid>
      <w:tr>
        <w:tc>
          <w:tcPr>
            <w:tcW w:type="dxa" w:w="4968"/>
            <w:shd w:fill="D9EAF7"/>
          </w:tcPr>
          <w:p>
            <w:r/>
            <w:r>
              <w:rPr>
                <w:b/>
                <w:sz w:val="18"/>
              </w:rPr>
              <w:t>Domaine</w:t>
            </w:r>
          </w:p>
        </w:tc>
        <w:tc>
          <w:tcPr>
            <w:tcW w:type="dxa" w:w="4968"/>
            <w:shd w:fill="D9EAF7"/>
          </w:tcPr>
          <w:p>
            <w:r/>
            <w:r>
              <w:rPr>
                <w:b/>
                <w:sz w:val="18"/>
              </w:rPr>
              <w:t>Exigence cible V1</w:t>
            </w:r>
          </w:p>
        </w:tc>
      </w:tr>
      <w:tr>
        <w:tc>
          <w:tcPr>
            <w:tcW w:type="dxa" w:w="4968"/>
          </w:tcPr>
          <w:p>
            <w:r/>
            <w:r>
              <w:rPr>
                <w:b w:val="0"/>
                <w:sz w:val="18"/>
              </w:rPr>
              <w:t>Autonomie</w:t>
            </w:r>
          </w:p>
        </w:tc>
        <w:tc>
          <w:tcPr>
            <w:tcW w:type="dxa" w:w="4968"/>
          </w:tcPr>
          <w:p>
            <w:r/>
            <w:r>
              <w:rPr>
                <w:b w:val="0"/>
                <w:sz w:val="18"/>
              </w:rPr>
              <w:t>Utilisation complète hors ligne après installation.</w:t>
            </w:r>
          </w:p>
        </w:tc>
      </w:tr>
      <w:tr>
        <w:tc>
          <w:tcPr>
            <w:tcW w:type="dxa" w:w="4968"/>
          </w:tcPr>
          <w:p>
            <w:r/>
            <w:r>
              <w:rPr>
                <w:b w:val="0"/>
                <w:sz w:val="18"/>
              </w:rPr>
              <w:t>Données</w:t>
            </w:r>
          </w:p>
        </w:tc>
        <w:tc>
          <w:tcPr>
            <w:tcW w:type="dxa" w:w="4968"/>
          </w:tcPr>
          <w:p>
            <w:r/>
            <w:r>
              <w:rPr>
                <w:b w:val="0"/>
                <w:sz w:val="18"/>
              </w:rPr>
              <w:t>Aucune télémétrie ni envoi automatique de contenu vers un service distant.</w:t>
            </w:r>
          </w:p>
        </w:tc>
      </w:tr>
      <w:tr>
        <w:tc>
          <w:tcPr>
            <w:tcW w:type="dxa" w:w="4968"/>
          </w:tcPr>
          <w:p>
            <w:r/>
            <w:r>
              <w:rPr>
                <w:b w:val="0"/>
                <w:sz w:val="18"/>
              </w:rPr>
              <w:t>Intégrité</w:t>
            </w:r>
          </w:p>
        </w:tc>
        <w:tc>
          <w:tcPr>
            <w:tcW w:type="dxa" w:w="4968"/>
          </w:tcPr>
          <w:p>
            <w:r/>
            <w:r>
              <w:rPr>
                <w:b w:val="0"/>
                <w:sz w:val="18"/>
              </w:rPr>
              <w:t>Transactions, migrations versionnées et sauvegarde/export vérifiables.</w:t>
            </w:r>
          </w:p>
        </w:tc>
      </w:tr>
      <w:tr>
        <w:tc>
          <w:tcPr>
            <w:tcW w:type="dxa" w:w="4968"/>
          </w:tcPr>
          <w:p>
            <w:r/>
            <w:r>
              <w:rPr>
                <w:b w:val="0"/>
                <w:sz w:val="18"/>
              </w:rPr>
              <w:t>Performance</w:t>
            </w:r>
          </w:p>
        </w:tc>
        <w:tc>
          <w:tcPr>
            <w:tcW w:type="dxa" w:w="4968"/>
          </w:tcPr>
          <w:p>
            <w:r/>
            <w:r>
              <w:rPr>
                <w:b w:val="0"/>
                <w:sz w:val="18"/>
              </w:rPr>
              <w:t>Recherche sur une base de quelques milliers de nœuds sans blocage perceptible.</w:t>
            </w:r>
          </w:p>
        </w:tc>
      </w:tr>
      <w:tr>
        <w:tc>
          <w:tcPr>
            <w:tcW w:type="dxa" w:w="4968"/>
          </w:tcPr>
          <w:p>
            <w:r/>
            <w:r>
              <w:rPr>
                <w:b w:val="0"/>
                <w:sz w:val="18"/>
              </w:rPr>
              <w:t>Graphe</w:t>
            </w:r>
          </w:p>
        </w:tc>
        <w:tc>
          <w:tcPr>
            <w:tcW w:type="dxa" w:w="4968"/>
          </w:tcPr>
          <w:p>
            <w:r/>
            <w:r>
              <w:rPr>
                <w:b w:val="0"/>
                <w:sz w:val="18"/>
              </w:rPr>
              <w:t>Exploration locale fluide sur un graphe de taille moyenne ; ne pas charger tous les détails documentaires en permanence.</w:t>
            </w:r>
          </w:p>
        </w:tc>
      </w:tr>
      <w:tr>
        <w:tc>
          <w:tcPr>
            <w:tcW w:type="dxa" w:w="4968"/>
          </w:tcPr>
          <w:p>
            <w:r/>
            <w:r>
              <w:rPr>
                <w:b w:val="0"/>
                <w:sz w:val="18"/>
              </w:rPr>
              <w:t>Robustesse</w:t>
            </w:r>
          </w:p>
        </w:tc>
        <w:tc>
          <w:tcPr>
            <w:tcW w:type="dxa" w:w="4968"/>
          </w:tcPr>
          <w:p>
            <w:r/>
            <w:r>
              <w:rPr>
                <w:b w:val="0"/>
                <w:sz w:val="18"/>
              </w:rPr>
              <w:t>Erreurs de rendu, de fichier ou de diagramme isolées sans corruption de la base.</w:t>
            </w:r>
          </w:p>
        </w:tc>
      </w:tr>
      <w:tr>
        <w:tc>
          <w:tcPr>
            <w:tcW w:type="dxa" w:w="4968"/>
          </w:tcPr>
          <w:p>
            <w:r/>
            <w:r>
              <w:rPr>
                <w:b w:val="0"/>
                <w:sz w:val="18"/>
              </w:rPr>
              <w:t>Accessibilité</w:t>
            </w:r>
          </w:p>
        </w:tc>
        <w:tc>
          <w:tcPr>
            <w:tcW w:type="dxa" w:w="4968"/>
          </w:tcPr>
          <w:p>
            <w:r/>
            <w:r>
              <w:rPr>
                <w:b w:val="0"/>
                <w:sz w:val="18"/>
              </w:rPr>
              <w:t>Navigation clavier pour les opérations essentielles, focus visible et contrastes suffisants.</w:t>
            </w:r>
          </w:p>
        </w:tc>
      </w:tr>
      <w:tr>
        <w:tc>
          <w:tcPr>
            <w:tcW w:type="dxa" w:w="4968"/>
          </w:tcPr>
          <w:p>
            <w:r/>
            <w:r>
              <w:rPr>
                <w:b w:val="0"/>
                <w:sz w:val="18"/>
              </w:rPr>
              <w:t>Maintenabilité</w:t>
            </w:r>
          </w:p>
        </w:tc>
        <w:tc>
          <w:tcPr>
            <w:tcW w:type="dxa" w:w="4968"/>
          </w:tcPr>
          <w:p>
            <w:r/>
            <w:r>
              <w:rPr>
                <w:b w:val="0"/>
                <w:sz w:val="18"/>
              </w:rPr>
              <w:t>Séparation UI/métier/persistance, types stricts, lint et formatage automatisés.</w:t>
            </w:r>
          </w:p>
        </w:tc>
      </w:tr>
      <w:tr>
        <w:tc>
          <w:tcPr>
            <w:tcW w:type="dxa" w:w="4968"/>
          </w:tcPr>
          <w:p>
            <w:r/>
            <w:r>
              <w:rPr>
                <w:b w:val="0"/>
                <w:sz w:val="18"/>
              </w:rPr>
              <w:t>Portabilité</w:t>
            </w:r>
          </w:p>
        </w:tc>
        <w:tc>
          <w:tcPr>
            <w:tcW w:type="dxa" w:w="4968"/>
          </w:tcPr>
          <w:p>
            <w:r/>
            <w:r>
              <w:rPr>
                <w:b w:val="0"/>
                <w:sz w:val="18"/>
              </w:rPr>
              <w:t>Export lisible et documenté, indépendant des composants d'interface.</w:t>
            </w:r>
          </w:p>
        </w:tc>
      </w:tr>
      <w:tr>
        <w:tc>
          <w:tcPr>
            <w:tcW w:type="dxa" w:w="4968"/>
          </w:tcPr>
          <w:p>
            <w:r/>
            <w:r>
              <w:rPr>
                <w:b w:val="0"/>
                <w:sz w:val="18"/>
              </w:rPr>
              <w:t>Sécurité</w:t>
            </w:r>
          </w:p>
        </w:tc>
        <w:tc>
          <w:tcPr>
            <w:tcW w:type="dxa" w:w="4968"/>
          </w:tcPr>
          <w:p>
            <w:r/>
            <w:r>
              <w:rPr>
                <w:b w:val="0"/>
                <w:sz w:val="18"/>
              </w:rPr>
              <w:t>Code stocké jamais exécuté ; IPC Electron minimal et validé.</w:t>
            </w:r>
          </w:p>
        </w:tc>
      </w:tr>
    </w:tbl>
    <w:p/>
    <w:p>
      <w:pPr>
        <w:pStyle w:val="Heading1"/>
      </w:pPr>
      <w:r>
        <w:t>10. Tests et qualité</w:t>
      </w:r>
    </w:p>
    <w:p>
      <w:pPr>
        <w:pStyle w:val="Heading2"/>
      </w:pPr>
      <w:r>
        <w:t>10.1 Tests unitaires</w:t>
      </w:r>
    </w:p>
    <w:p>
      <w:pPr>
        <w:pStyle w:val="ListBullet"/>
      </w:pPr>
      <w:r>
        <w:t>Création, renommage, déplacement et suppression de nœuds.</w:t>
      </w:r>
    </w:p>
    <w:p>
      <w:pPr>
        <w:pStyle w:val="ListBullet"/>
      </w:pPr>
      <w:r>
        <w:t>Validation des cycles parent-enfant et de l'intégrité des relations.</w:t>
      </w:r>
    </w:p>
    <w:p>
      <w:pPr>
        <w:pStyle w:val="ListBullet"/>
      </w:pPr>
      <w:r>
        <w:t>Persistance et récupération des documents et pièces jointes.</w:t>
      </w:r>
    </w:p>
    <w:p>
      <w:pPr>
        <w:pStyle w:val="ListBullet"/>
      </w:pPr>
      <w:r>
        <w:t>Recherche textuelle et indexation.</w:t>
      </w:r>
    </w:p>
    <w:p>
      <w:pPr>
        <w:pStyle w:val="ListBullet"/>
      </w:pPr>
      <w:r>
        <w:t>Migrations de base et import/export.</w:t>
      </w:r>
    </w:p>
    <w:p>
      <w:pPr>
        <w:pStyle w:val="Heading2"/>
      </w:pPr>
      <w:r>
        <w:t>10.2 Tests d'intégration et end-to-end</w:t>
      </w:r>
    </w:p>
    <w:p>
      <w:pPr>
        <w:pStyle w:val="ListBullet"/>
      </w:pPr>
      <w:r>
        <w:t>Créer un espace, créer une hiérarchie de nœuds et relier des nœuds éloignés.</w:t>
      </w:r>
    </w:p>
    <w:p>
      <w:pPr>
        <w:pStyle w:val="ListBullet"/>
      </w:pPr>
      <w:r>
        <w:t>Ajouter Markdown, code et diagramme ; fermer puis rouvrir l'application et vérifier la persistance.</w:t>
      </w:r>
    </w:p>
    <w:p>
      <w:pPr>
        <w:pStyle w:val="ListBullet"/>
      </w:pPr>
      <w:r>
        <w:t>Rechercher une chaîne présente uniquement dans un bloc de code.</w:t>
      </w:r>
    </w:p>
    <w:p>
      <w:pPr>
        <w:pStyle w:val="ListBullet"/>
      </w:pPr>
      <w:r>
        <w:t>Exporter puis réimporter un espace et comparer les entités et pièces jointes.</w:t>
      </w:r>
    </w:p>
    <w:p>
      <w:pPr>
        <w:pStyle w:val="ListBullet"/>
      </w:pPr>
      <w:r>
        <w:t>Vérifier que le code stocké n'est jamais exécuté et qu'aucun processus n'est lancé à l'ouverture d'un document.</w:t>
      </w:r>
    </w:p>
    <w:p>
      <w:pPr>
        <w:pStyle w:val="ListBullet"/>
      </w:pPr>
      <w:r>
        <w:t>Tester les erreurs de base verrouillée, espace disque insuffisant et diagramme invalide.</w:t>
      </w:r>
    </w:p>
    <w:p>
      <w:pPr>
        <w:pStyle w:val="Heading1"/>
      </w:pPr>
      <w:r>
        <w:t>11. Critères d'acceptation de la V1</w:t>
      </w:r>
    </w:p>
    <w:p>
      <w:pPr>
        <w:pStyle w:val="ListBullet"/>
      </w:pPr>
      <w:r>
        <w:t>L'application se lance comme un logiciel Windows installé, sans serveur externe.</w:t>
      </w:r>
    </w:p>
    <w:p>
      <w:pPr>
        <w:pStyle w:val="ListBullet"/>
      </w:pPr>
      <w:r>
        <w:t>Un utilisateur peut créer, ouvrir et sauvegarder un espace local.</w:t>
      </w:r>
    </w:p>
    <w:p>
      <w:pPr>
        <w:pStyle w:val="ListBullet"/>
      </w:pPr>
      <w:r>
        <w:t>Un nœud peut contenir plusieurs documents et plusieurs niveaux de sous-nœuds.</w:t>
      </w:r>
    </w:p>
    <w:p>
      <w:pPr>
        <w:pStyle w:val="ListBullet"/>
      </w:pPr>
      <w:r>
        <w:t>Deux nœuds peuvent être reliés indépendamment de leur relation parent-enfant.</w:t>
      </w:r>
    </w:p>
    <w:p>
      <w:pPr>
        <w:pStyle w:val="ListBullet"/>
      </w:pPr>
      <w:r>
        <w:t>Les relations peuvent être nommées, modifiées et supprimées séparément.</w:t>
      </w:r>
    </w:p>
    <w:p>
      <w:pPr>
        <w:pStyle w:val="ListBullet"/>
      </w:pPr>
      <w:r>
        <w:t>Les documents Markdown sont éditables et prévisualisables.</w:t>
      </w:r>
    </w:p>
    <w:p>
      <w:pPr>
        <w:pStyle w:val="ListBullet"/>
      </w:pPr>
      <w:r>
        <w:t>Le code est coloré syntaxiquement, modifiable et copiable, sans fonctionnalité d'exécution.</w:t>
      </w:r>
    </w:p>
    <w:p>
      <w:pPr>
        <w:pStyle w:val="ListBullet"/>
      </w:pPr>
      <w:r>
        <w:t>Les diagrammes Mermaid sont rendus localement et les erreurs de syntaxe sont gérées.</w:t>
      </w:r>
    </w:p>
    <w:p>
      <w:pPr>
        <w:pStyle w:val="ListBullet"/>
      </w:pPr>
      <w:r>
        <w:t>La recherche trouve des titres, du texte et du code sauvegardé.</w:t>
      </w:r>
    </w:p>
    <w:p>
      <w:pPr>
        <w:pStyle w:val="ListBullet"/>
      </w:pPr>
      <w:r>
        <w:t>Les filtres et la vue locale du graphe rendent l'exploration possible sans surcharger l'écran.</w:t>
      </w:r>
    </w:p>
    <w:p>
      <w:pPr>
        <w:pStyle w:val="ListBullet"/>
      </w:pPr>
      <w:r>
        <w:t>L'export et l'import permettent de transférer un espace sans perte des relations et pièces jointes prises en charge.</w:t>
      </w:r>
    </w:p>
    <w:p>
      <w:pPr>
        <w:pStyle w:val="ListBullet"/>
      </w:pPr>
      <w:r>
        <w:t>Les opérations de suppression sont explicites et les données ne sont pas supprimées silencieusement.</w:t>
      </w:r>
    </w:p>
    <w:p>
      <w:pPr>
        <w:pStyle w:val="ListBullet"/>
      </w:pPr>
      <w:r>
        <w:t>Les tests automatisés couvrent les règles métier et les principaux parcours.</w:t>
      </w:r>
    </w:p>
    <w:p>
      <w:pPr>
        <w:pStyle w:val="Heading1"/>
      </w:pPr>
      <w:r>
        <w:t>12. Découpage recommandé en lots</w:t>
      </w:r>
    </w:p>
    <w:p>
      <w:pPr/>
      <w:r>
        <w:t>Le JSON peut être créé, édité, validé et conservé comme contenu source d’un nœud, sans exécution ni conversion automatique en TOON.</w:t>
      </w:r>
    </w:p>
    <w:p>
      <w:pPr/>
      <w:r>
        <w:t>L’export TOON des données structurées du graphe est testé, documenté et conserve les identifiants et relations nécessaires à une reconstruction fiable du contexte.</w:t>
      </w:r>
    </w:p>
    <w:p>
      <w:pPr/>
      <w:r>
        <w:t>Les exports LLM peuvent être limités à un sous-graphe et produire des fragments structurés sans modifier les documents d’origine ; les métadonnées de tokenizer sont explicites quand un comptage de tokens est fourni.</w:t>
      </w:r>
    </w:p>
    <w:tbl>
      <w:tblPr>
        <w:tblStyle w:val="LightShading-Accent1"/>
        <w:tblW w:type="auto" w:w="0"/>
        <w:tblLook w:firstColumn="1" w:firstRow="1" w:lastColumn="0" w:lastRow="0" w:noHBand="0" w:noVBand="1" w:val="04A0"/>
      </w:tblPr>
      <w:tblGrid>
        <w:gridCol w:w="3312"/>
        <w:gridCol w:w="3312"/>
        <w:gridCol w:w="3312"/>
      </w:tblGrid>
      <w:tr>
        <w:tc>
          <w:tcPr>
            <w:tcW w:type="dxa" w:w="3312"/>
            <w:shd w:fill="D9EAF7"/>
          </w:tcPr>
          <w:p>
            <w:r/>
            <w:r>
              <w:rPr>
                <w:b/>
                <w:sz w:val="18"/>
              </w:rPr>
              <w:t>Lot</w:t>
            </w:r>
          </w:p>
        </w:tc>
        <w:tc>
          <w:tcPr>
            <w:tcW w:type="dxa" w:w="3312"/>
            <w:shd w:fill="D9EAF7"/>
          </w:tcPr>
          <w:p>
            <w:r/>
            <w:r>
              <w:rPr>
                <w:b/>
                <w:sz w:val="18"/>
              </w:rPr>
              <w:t>Contenu</w:t>
            </w:r>
          </w:p>
        </w:tc>
        <w:tc>
          <w:tcPr>
            <w:tcW w:type="dxa" w:w="3312"/>
            <w:shd w:fill="D9EAF7"/>
          </w:tcPr>
          <w:p>
            <w:r/>
            <w:r>
              <w:rPr>
                <w:b/>
                <w:sz w:val="18"/>
              </w:rPr>
              <w:t>Livrable</w:t>
            </w:r>
          </w:p>
        </w:tc>
      </w:tr>
      <w:tr>
        <w:tc>
          <w:tcPr>
            <w:tcW w:type="dxa" w:w="3312"/>
          </w:tcPr>
          <w:p>
            <w:r/>
            <w:r>
              <w:rPr>
                <w:b w:val="0"/>
                <w:sz w:val="18"/>
              </w:rPr>
              <w:t>Lot 1 — Fondation</w:t>
            </w:r>
          </w:p>
        </w:tc>
        <w:tc>
          <w:tcPr>
            <w:tcW w:type="dxa" w:w="3312"/>
          </w:tcPr>
          <w:p>
            <w:r/>
            <w:r>
              <w:rPr>
                <w:b w:val="0"/>
                <w:sz w:val="18"/>
              </w:rPr>
              <w:t>Electron, React, TypeScript, configuration sécurité, SQLite, migrations.</w:t>
            </w:r>
          </w:p>
        </w:tc>
        <w:tc>
          <w:tcPr>
            <w:tcW w:type="dxa" w:w="3312"/>
          </w:tcPr>
          <w:p>
            <w:r/>
            <w:r>
              <w:rPr>
                <w:b w:val="0"/>
                <w:sz w:val="18"/>
              </w:rPr>
              <w:t>Application desktop et persistance opérationnelles.</w:t>
            </w:r>
          </w:p>
        </w:tc>
      </w:tr>
      <w:tr>
        <w:tc>
          <w:tcPr>
            <w:tcW w:type="dxa" w:w="3312"/>
          </w:tcPr>
          <w:p>
            <w:r/>
            <w:r>
              <w:rPr>
                <w:b w:val="0"/>
                <w:sz w:val="18"/>
              </w:rPr>
              <w:t>Lot 2 — Modèle documentaire</w:t>
            </w:r>
          </w:p>
        </w:tc>
        <w:tc>
          <w:tcPr>
            <w:tcW w:type="dxa" w:w="3312"/>
          </w:tcPr>
          <w:p>
            <w:r/>
            <w:r>
              <w:rPr>
                <w:b w:val="0"/>
                <w:sz w:val="18"/>
              </w:rPr>
              <w:t>Espaces, nœuds, hiérarchie, documents, tags et pièces jointes.</w:t>
            </w:r>
          </w:p>
        </w:tc>
        <w:tc>
          <w:tcPr>
            <w:tcW w:type="dxa" w:w="3312"/>
          </w:tcPr>
          <w:p>
            <w:r/>
            <w:r>
              <w:rPr>
                <w:b w:val="0"/>
                <w:sz w:val="18"/>
              </w:rPr>
              <w:t>Création et édition des connaissances.</w:t>
            </w:r>
          </w:p>
        </w:tc>
      </w:tr>
      <w:tr>
        <w:tc>
          <w:tcPr>
            <w:tcW w:type="dxa" w:w="3312"/>
          </w:tcPr>
          <w:p>
            <w:r/>
            <w:r>
              <w:rPr>
                <w:b w:val="0"/>
                <w:sz w:val="18"/>
              </w:rPr>
              <w:t>Lot 3 — Graphe</w:t>
            </w:r>
          </w:p>
        </w:tc>
        <w:tc>
          <w:tcPr>
            <w:tcW w:type="dxa" w:w="3312"/>
          </w:tcPr>
          <w:p>
            <w:r/>
            <w:r>
              <w:rPr>
                <w:b w:val="0"/>
                <w:sz w:val="18"/>
              </w:rPr>
              <w:t>Visualisation, relations, navigation locale, filtres et positions.</w:t>
            </w:r>
          </w:p>
        </w:tc>
        <w:tc>
          <w:tcPr>
            <w:tcW w:type="dxa" w:w="3312"/>
          </w:tcPr>
          <w:p>
            <w:r/>
            <w:r>
              <w:rPr>
                <w:b w:val="0"/>
                <w:sz w:val="18"/>
              </w:rPr>
              <w:t>Graphe interactif fonctionnel.</w:t>
            </w:r>
          </w:p>
        </w:tc>
      </w:tr>
      <w:tr>
        <w:tc>
          <w:tcPr>
            <w:tcW w:type="dxa" w:w="3312"/>
          </w:tcPr>
          <w:p>
            <w:r/>
            <w:r>
              <w:rPr>
                <w:b w:val="0"/>
                <w:sz w:val="18"/>
              </w:rPr>
              <w:t>Lot 4 — Contenus riches</w:t>
            </w:r>
          </w:p>
        </w:tc>
        <w:tc>
          <w:tcPr>
            <w:tcW w:type="dxa" w:w="3312"/>
          </w:tcPr>
          <w:p>
            <w:r/>
            <w:r>
              <w:rPr>
                <w:b w:val="0"/>
                <w:sz w:val="18"/>
              </w:rPr>
              <w:t>Markdown, code, Mermaid et rendu sécurisé.</w:t>
            </w:r>
          </w:p>
        </w:tc>
        <w:tc>
          <w:tcPr>
            <w:tcW w:type="dxa" w:w="3312"/>
          </w:tcPr>
          <w:p>
            <w:r/>
            <w:r>
              <w:rPr>
                <w:b w:val="0"/>
                <w:sz w:val="18"/>
              </w:rPr>
              <w:t>Documentation technique multimodale.</w:t>
            </w:r>
          </w:p>
        </w:tc>
      </w:tr>
      <w:tr>
        <w:tc>
          <w:tcPr>
            <w:tcW w:type="dxa" w:w="3312"/>
          </w:tcPr>
          <w:p>
            <w:r/>
            <w:r>
              <w:rPr>
                <w:b w:val="0"/>
                <w:sz w:val="18"/>
              </w:rPr>
              <w:t>Lot 5 — Recherche et portabilité</w:t>
            </w:r>
          </w:p>
        </w:tc>
        <w:tc>
          <w:tcPr>
            <w:tcW w:type="dxa" w:w="3312"/>
          </w:tcPr>
          <w:p>
            <w:r/>
            <w:r>
              <w:rPr>
                <w:b w:val="0"/>
                <w:sz w:val="18"/>
              </w:rPr>
              <w:t>Indexation, export/import, sauvegardes et gestion d'erreurs.</w:t>
            </w:r>
          </w:p>
        </w:tc>
        <w:tc>
          <w:tcPr>
            <w:tcW w:type="dxa" w:w="3312"/>
          </w:tcPr>
          <w:p>
            <w:r/>
            <w:r>
              <w:rPr>
                <w:b w:val="0"/>
                <w:sz w:val="18"/>
              </w:rPr>
              <w:t>Base durable et transférable.</w:t>
            </w:r>
          </w:p>
        </w:tc>
      </w:tr>
      <w:tr>
        <w:tc>
          <w:tcPr>
            <w:tcW w:type="dxa" w:w="3312"/>
          </w:tcPr>
          <w:p>
            <w:r/>
            <w:r>
              <w:rPr>
                <w:b w:val="0"/>
                <w:sz w:val="18"/>
              </w:rPr>
              <w:t>Lot 6 — Stabilisation</w:t>
            </w:r>
          </w:p>
        </w:tc>
        <w:tc>
          <w:tcPr>
            <w:tcW w:type="dxa" w:w="3312"/>
          </w:tcPr>
          <w:p>
            <w:r/>
            <w:r>
              <w:rPr>
                <w:b w:val="0"/>
                <w:sz w:val="18"/>
              </w:rPr>
              <w:t>Tests, performances, packaging, documentation utilisateur.</w:t>
            </w:r>
          </w:p>
        </w:tc>
        <w:tc>
          <w:tcPr>
            <w:tcW w:type="dxa" w:w="3312"/>
          </w:tcPr>
          <w:p>
            <w:r/>
            <w:r>
              <w:rPr>
                <w:b w:val="0"/>
                <w:sz w:val="18"/>
              </w:rPr>
              <w:t>Installateur Windows de la V1.</w:t>
            </w:r>
          </w:p>
        </w:tc>
      </w:tr>
    </w:tbl>
    <w:p/>
    <w:p>
      <w:pPr>
        <w:pStyle w:val="Heading1"/>
      </w:pPr>
      <w:r>
        <w:t>13. Décisions à figer avant développement</w:t>
      </w:r>
    </w:p>
    <w:p>
      <w:pPr>
        <w:pStyle w:val="ListBullet"/>
      </w:pPr>
      <w:r>
        <w:t>Projet stocké sous forme d'un fichier unique ou d'un dossier autonome.</w:t>
      </w:r>
    </w:p>
    <w:p>
      <w:pPr>
        <w:pStyle w:val="ListBullet"/>
      </w:pPr>
      <w:r>
        <w:t>Éditeur Markdown unique ou modèle combinant documents et blocs typés.</w:t>
      </w:r>
    </w:p>
    <w:p>
      <w:pPr>
        <w:pStyle w:val="ListBullet"/>
      </w:pPr>
      <w:r>
        <w:t>Possibilité de plusieurs vues graphe enregistrées par espace.</w:t>
      </w:r>
    </w:p>
    <w:p>
      <w:pPr>
        <w:pStyle w:val="ListBullet"/>
      </w:pPr>
      <w:r>
        <w:t>Gestion des versions/historique des documents, éventuellement reportée après la V1.</w:t>
      </w:r>
    </w:p>
    <w:p>
      <w:pPr>
        <w:pStyle w:val="ListBullet"/>
      </w:pPr>
      <w:r>
        <w:t>Import/export initial : format natif portable, Markdown avec métadonnées, ou les deux.</w:t>
      </w:r>
    </w:p>
    <w:p>
      <w:pPr>
        <w:pStyle w:val="ListBullet"/>
      </w:pPr>
      <w:r>
        <w:t>Niveau de personnalisation des types de nœuds et de relations dès la V1.</w:t>
      </w:r>
    </w:p>
    <w:p>
      <w:pPr>
        <w:pStyle w:val="Heading1"/>
      </w:pPr>
      <w:r>
        <w:t>14. Résumé des choix recommandés</w:t>
      </w:r>
    </w:p>
    <w:p>
      <w:pPr/>
      <w:r>
        <w:t>Complément ajouté en version 1.1 : les documents JSON sont un type de contenu de première classe. TOON sert à sérialiser les données structurées du graphe pour des usages LLM, tandis que Markdown, code, JSON et diagrammes restent conservés dans leur forme source. Une couche de préparation/export LLM (sélection de contexte, chunking respectueux de la structure, métadonnées et comptage par tokenizer identifié) prépare une future intégration à un agent sans imposer d’IA ni de backend en V1.</w:t>
      </w:r>
    </w:p>
    <w:p>
      <w:r>
        <w:t>Pour limiter la complexité sans fermer les possibilités futures, la recommandation est de livrer une application Windows locale Electron + React + TypeScript, avec Cytoscape.js, CodeMirror, Mermaid et SQLite. Le modèle distingue la hiérarchie des nœuds des relations du graphe et sépare les documents et pièces jointes des métadonnées. Les documents JSON sont pris en charge nativement comme contenu éditable et inerte. TOON est retenu comme format privilégié d’export LLM des données structurées, avec JSON en format d’interopérabilité ; les sources Markdown, code, JSON et diagrammes ne sont jamais altérées par l’export. Une couche de chunking et de métadonnées prépare un futur agent sans développer l’agent en V1.</w:t>
      </w:r>
    </w:p>
    <w:p>
      <w:pPr>
        <w:pStyle w:val="Heading1"/>
      </w:pPr>
      <w:r>
        <w:t>15. Historique des versions</w:t>
      </w:r>
    </w:p>
    <w:p>
      <w:r>
        <w:rPr>
          <w:b/>
        </w:rPr>
        <w:t xml:space="preserve">Version 1.1 — 29 octobre 2026. </w:t>
      </w:r>
      <w:r>
        <w:t>Ajout du support JSON comme contenu de première classe dans les nœuds, de TOON comme format d’export LLM privilégié, d’un export JSON d’interopérabilité et d’une couche de préparation/chunking pour une future intégration à un agent. Précision que les contenus sources restent inchangés et que le comptage de tokens dépend d’un tokenizer identifié.</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Cahier des charges techniques — Knowledge Graph Desktop  |  </w:t>
    </w:r>
    <w:fldChar w:fldCharType="begin"/>
    <w:instrText xml:space="preserve">PAGE</w:instrText>
    <w:fldChar w:fldCharType="end"/>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Cahier des charges techniques — Knowledge Graph Desktop</dc:title>
  <dc:subject>Spécifications fonctionnelles et techniques, version 1.1</dc:subject>
  <dc:creator>python-docx</dc:creator>
  <cp:keywords/>
  <dc:description>Mise à jour : contenu JSON dans les nœuds et export orienté LLM avec TOON.</dc:description>
  <cp:lastModifiedBy/>
  <cp:revision>1</cp:revision>
  <dcterms:created xsi:type="dcterms:W3CDTF">2013-12-23T23:15:00Z</dcterms:created>
  <dcterms:modified xsi:type="dcterms:W3CDTF">2013-12-23T23:15:00Z</dcterms:modified>
  <cp:category/>
</cp:coreProperties>
</file>