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CC6C2">
      <w:pPr>
        <w:spacing w:before="103" w:line="220" w:lineRule="auto"/>
        <w:ind w:left="1980" w:firstLine="755" w:firstLineChars="200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b/>
          <w:bCs/>
          <w:spacing w:val="-32"/>
          <w:sz w:val="44"/>
          <w:szCs w:val="44"/>
        </w:rPr>
        <w:t>公</w:t>
      </w:r>
      <w:r>
        <w:rPr>
          <w:rFonts w:ascii="宋体" w:hAnsi="宋体" w:eastAsia="宋体" w:cs="宋体"/>
          <w:spacing w:val="15"/>
          <w:sz w:val="44"/>
          <w:szCs w:val="44"/>
        </w:rPr>
        <w:t xml:space="preserve">   </w:t>
      </w:r>
      <w:r>
        <w:rPr>
          <w:rFonts w:ascii="宋体" w:hAnsi="宋体" w:eastAsia="宋体" w:cs="宋体"/>
          <w:b/>
          <w:bCs/>
          <w:spacing w:val="-32"/>
          <w:sz w:val="44"/>
          <w:szCs w:val="44"/>
        </w:rPr>
        <w:t>司</w:t>
      </w:r>
      <w:r>
        <w:rPr>
          <w:rFonts w:ascii="宋体" w:hAnsi="宋体" w:eastAsia="宋体" w:cs="宋体"/>
          <w:spacing w:val="14"/>
          <w:sz w:val="44"/>
          <w:szCs w:val="44"/>
        </w:rPr>
        <w:t xml:space="preserve">   </w:t>
      </w:r>
      <w:r>
        <w:rPr>
          <w:rFonts w:ascii="宋体" w:hAnsi="宋体" w:eastAsia="宋体" w:cs="宋体"/>
          <w:b/>
          <w:bCs/>
          <w:spacing w:val="-32"/>
          <w:sz w:val="44"/>
          <w:szCs w:val="44"/>
        </w:rPr>
        <w:t>简</w:t>
      </w:r>
      <w:r>
        <w:rPr>
          <w:rFonts w:ascii="宋体" w:hAnsi="宋体" w:eastAsia="宋体" w:cs="宋体"/>
          <w:spacing w:val="10"/>
          <w:sz w:val="44"/>
          <w:szCs w:val="44"/>
        </w:rPr>
        <w:t xml:space="preserve">   </w:t>
      </w:r>
      <w:r>
        <w:rPr>
          <w:rFonts w:ascii="宋体" w:hAnsi="宋体" w:eastAsia="宋体" w:cs="宋体"/>
          <w:b/>
          <w:bCs/>
          <w:spacing w:val="-32"/>
          <w:sz w:val="44"/>
          <w:szCs w:val="44"/>
        </w:rPr>
        <w:t>介</w:t>
      </w:r>
    </w:p>
    <w:p w14:paraId="1A37C053">
      <w:pPr>
        <w:pStyle w:val="2"/>
        <w:spacing w:before="119" w:line="342" w:lineRule="auto"/>
        <w:ind w:left="60" w:right="112" w:firstLine="548"/>
        <w:rPr>
          <w:b/>
          <w:bCs/>
          <w:spacing w:val="-4"/>
        </w:rPr>
      </w:pPr>
    </w:p>
    <w:p w14:paraId="6114B5BD">
      <w:pPr>
        <w:spacing w:line="360" w:lineRule="auto"/>
        <w:ind w:firstLine="546" w:firstLineChars="200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  <w:sz w:val="28"/>
          <w:szCs w:val="28"/>
        </w:rPr>
        <w:t>山东众信土地房地产评估测绘有限公司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t>成立于 2006 年 1 月，注册资金200万元。注册地址：山东省济南市历下区经十东路 11111 号华润中心 5-1702。拥有国家房地产估价贰级资质、价格评估资质、土地评估资质、社会稳定性风险评估的专业评估机构 。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t>土地评估资信等级甲级。房地产评估资质等级：贰级资质。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t>价格鉴证评估资质证号综合乙级。公司为中国土地估价师与土地登记代理人协会团体会员单位，济南市房地产中介行业协会会员，济南市拆迁行业协会会员单位，在各专业领域积极维护行业利益、遵从行业规范，坚持“诚信、专业、规范、创新”的经营理念和“客户至上”的服务宗旨，努力维护现代服务业的良好形象。年年被评为先进企业，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t>2024年度被评为房地产评估行业优秀房地产估价报告，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t>2025年12月成功入册山东高院对外委托鉴定机构名册。</w:t>
      </w:r>
    </w:p>
    <w:p w14:paraId="072C270B">
      <w:pPr>
        <w:pStyle w:val="2"/>
        <w:spacing w:before="119" w:line="342" w:lineRule="auto"/>
        <w:ind w:left="60" w:right="112" w:firstLine="548"/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en-US" w:bidi="ar-SA"/>
        </w:rPr>
        <w:t>公司经营范围：房地产评估；价格鉴证评估；机动车鉴定评估；资产评估；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t>社会稳定风险评估；矿业权评估服务,土地调查评估服务；物业服务评估；政府采购代理服务；招投标代理服务;工程造价咨询业务,工程管理服务；知识产权服务；破产清算服务；人力资源服务土壤污染治理与修复服务;土地使用权租赁；财政资金项目预算绩效评价服务；住房租赁;财务咨询;法律咨询；计量技术服务；节能管理服务；融资咨询服务；信息咨询服务；办公服务；水资源管理；税务服务；房地产咨询；土地整治服务；艺术品代理；大数据服务；会议及展览服务；互联网销售；市场主体登记注册代理；社会调查；市场调查；社会经济咨询服务；证券财务顾问服务；房屋拆迁服务；商标代理；企业管理。拍卖业务；测绘服务；注册会计师业务；建设工程监理；代理记账；二手车拍卖。</w:t>
      </w:r>
    </w:p>
    <w:p w14:paraId="04DF69CD">
      <w:pPr>
        <w:pStyle w:val="2"/>
        <w:spacing w:before="119" w:line="342" w:lineRule="auto"/>
        <w:ind w:left="60" w:right="112" w:firstLine="548"/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t>公司严格遵循国家法律法规和有关资产评估规定，不断健全内部组织机构，完善各类规章制度，积极引进高素质管理人才，形成了完整的管理体系和高效的运作机制，我们始终坚持“公平、公开、公正、诚信 ”的原则，以市场为导向，力求规范严谨、诚信、高效为客户服务。先后承接各类房地产、土地估价业务 8300余宗。公司先后入册、入驻了山东省高级人民法院对外委托鉴定机构库、山东省政府采购网上商城，齐鲁云采网，与山东产权交易中心建立长期合作伙伴关系，已在济南、泰安、淄博、德州、临沂、聊城、枣庄、 菏泽、济宁、威海等全省部分地市开展了价格评估工作。为各级、各地法院审判、执行等工作提供了有利的技术支撑和科学、客观的价值判断。相继入围济南市住房保障和房产管理局、市财政局、泰安市自然资源和规划局、聊城市自然资源和规划局、临沂市自然资源和规划局、济南市济阳区自然资源局等各地市单位的中介机构备选库，并顺利进入工、农、中、交、建等五大国有银行及邮政、农商、莱商等金融部门评估机构备选库，提供各类资产、押品抵押贷款、产权过户、不良贷款（债权、处置）、租赁权、产权明晰价值等评估业务，能在规定的时限内高质量地完成所委托业务，能适应新形势下各类资产评估、社会稳定风险评估、工程管理咨询、招投标代理等工作的需要，得到了各金融机构和社会各界的一致好评，取得了很好的经济效益和社会效益。</w:t>
      </w:r>
    </w:p>
    <w:p w14:paraId="558AF7ED">
      <w:pPr>
        <w:pStyle w:val="2"/>
        <w:spacing w:before="119" w:line="342" w:lineRule="auto"/>
        <w:ind w:left="60" w:right="112" w:firstLine="548"/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t xml:space="preserve">近年来，分别参与了各大中专院校各级中小学的资产处置评估工作、山东省重点工程济泰高速公路泰安段地上附着物和构筑物的评估、济泰高速公路三改工 程的评估、泰安环山路东延工程的评估、山东科大泰山科技学院征迁工程评估、京台高速公路泰安段改扩建工程评估、济南市城市更新局涉及的多处小区改造征收评估，各市税务局、住建局、自规局、综合执法局等部门涉及的查封扣押抵款和抵税财物资产等评估、董梁高速新泰段地上附着物征迁工程评估、新泰市植物园地上物等评估业务。无论是课税评估、资产处置评估，还是拆迁补偿、司法鉴定等评估工作中，公司团队积极主动，认真负责，体现了第三方的公平公正性，有利的配合支持个有关主管部门的工作效率，增加了各地方的财政收入，锻炼了我们的执业队伍，受到了委托人的认可和好评。 </w:t>
      </w:r>
    </w:p>
    <w:p w14:paraId="573910C7">
      <w:pPr>
        <w:pStyle w:val="2"/>
        <w:spacing w:before="119" w:line="342" w:lineRule="auto"/>
        <w:ind w:left="60" w:right="112" w:firstLine="548"/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t xml:space="preserve">我公司不论是在资质等级、人员资格和业务经验、能力方面，还是在办公条 </w:t>
      </w:r>
    </w:p>
    <w:p w14:paraId="781A759D">
      <w:pPr>
        <w:pStyle w:val="2"/>
        <w:spacing w:before="119" w:line="342" w:lineRule="auto"/>
        <w:ind w:right="112"/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t xml:space="preserve">件、业绩反馈评价等诸方面均已完全具备承接各类资产评估的能力，公司各种证照、资质和人员资格证书，均已年年顺利通过年检并受到主管部门的一致好评。 </w:t>
      </w:r>
    </w:p>
    <w:p w14:paraId="6FDF55A9">
      <w:pPr>
        <w:pStyle w:val="2"/>
        <w:spacing w:before="119" w:line="342" w:lineRule="auto"/>
        <w:ind w:right="112" w:firstLine="576" w:firstLineChars="200"/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t>公司成立二十年来，始终凝聚团队共识，虚心学习、开拓进取，努力发挥中介机构诚实、守信、公平、公正服务职能，并保证将严格按照入册备案各级政府部门、司法机关、业务主管部门和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t>委托方等的要求，以一流的业绩和服务质量确保完成各类资产评估业务。</w:t>
      </w:r>
    </w:p>
    <w:p w14:paraId="151540A5">
      <w:pPr>
        <w:pStyle w:val="2"/>
        <w:spacing w:before="119" w:line="342" w:lineRule="auto"/>
        <w:ind w:left="60" w:right="112" w:firstLine="548"/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sectPr>
          <w:footerReference r:id="rId5" w:type="default"/>
          <w:pgSz w:w="11906" w:h="16839"/>
          <w:pgMar w:top="567" w:right="567" w:bottom="567" w:left="850" w:header="0" w:footer="977" w:gutter="0"/>
          <w:cols w:space="720" w:num="1"/>
        </w:sect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1555115</wp:posOffset>
            </wp:positionH>
            <wp:positionV relativeFrom="page">
              <wp:posOffset>331470</wp:posOffset>
            </wp:positionV>
            <wp:extent cx="2974340" cy="3968750"/>
            <wp:effectExtent l="0" t="0" r="12700" b="16510"/>
            <wp:wrapTight wrapText="bothSides">
              <wp:wrapPolygon>
                <wp:start x="21600" y="0"/>
                <wp:lineTo x="157" y="0"/>
                <wp:lineTo x="157" y="21462"/>
                <wp:lineTo x="21600" y="21462"/>
                <wp:lineTo x="21600" y="0"/>
              </wp:wrapPolygon>
            </wp:wrapTight>
            <wp:docPr id="2" name="图片 2" descr="36a3298abdb6c4b106abfb1dba4019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6a3298abdb6c4b106abfb1dba40197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7434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1532890</wp:posOffset>
            </wp:positionH>
            <wp:positionV relativeFrom="paragraph">
              <wp:posOffset>2796540</wp:posOffset>
            </wp:positionV>
            <wp:extent cx="2726690" cy="3975100"/>
            <wp:effectExtent l="0" t="0" r="6350" b="16510"/>
            <wp:wrapTight wrapText="bothSides">
              <wp:wrapPolygon>
                <wp:start x="21600" y="0"/>
                <wp:lineTo x="171" y="0"/>
                <wp:lineTo x="171" y="21531"/>
                <wp:lineTo x="21600" y="21531"/>
                <wp:lineTo x="21600" y="0"/>
              </wp:wrapPolygon>
            </wp:wrapTight>
            <wp:docPr id="1" name="图片 1" descr="83044df39c84cc598f7222a9a78d3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3044df39c84cc598f7222a9a78d3fb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72669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37173">
      <w:pPr>
        <w:pStyle w:val="2"/>
        <w:spacing w:before="119" w:line="342" w:lineRule="auto"/>
        <w:ind w:right="112"/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en-US" w:bidi="ar-SA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1163320</wp:posOffset>
            </wp:positionH>
            <wp:positionV relativeFrom="paragraph">
              <wp:posOffset>3428365</wp:posOffset>
            </wp:positionV>
            <wp:extent cx="4171315" cy="5034280"/>
            <wp:effectExtent l="0" t="0" r="0" b="0"/>
            <wp:wrapTight wrapText="bothSides">
              <wp:wrapPolygon>
                <wp:start x="0" y="0"/>
                <wp:lineTo x="0" y="21496"/>
                <wp:lineTo x="21505" y="21496"/>
                <wp:lineTo x="21505" y="0"/>
                <wp:lineTo x="0" y="0"/>
              </wp:wrapPolygon>
            </wp:wrapTight>
            <wp:docPr id="9" name="图片 9" descr="f706cea60eda2960bb66379627fe8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706cea60eda2960bb66379627fe86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315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1001395</wp:posOffset>
            </wp:positionH>
            <wp:positionV relativeFrom="paragraph">
              <wp:posOffset>285115</wp:posOffset>
            </wp:positionV>
            <wp:extent cx="4110990" cy="2752725"/>
            <wp:effectExtent l="0" t="0" r="3810" b="9525"/>
            <wp:wrapTight wrapText="bothSides">
              <wp:wrapPolygon>
                <wp:start x="0" y="0"/>
                <wp:lineTo x="0" y="21525"/>
                <wp:lineTo x="21520" y="21525"/>
                <wp:lineTo x="21520" y="0"/>
                <wp:lineTo x="0" y="0"/>
              </wp:wrapPolygon>
            </wp:wrapTight>
            <wp:docPr id="3" name="图片 3" descr="0b854adb51468ccadb07afd2be4e5f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b854adb51468ccadb07afd2be4e5f9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34812">
      <w:pPr>
        <w:pStyle w:val="2"/>
        <w:spacing w:before="119" w:line="342" w:lineRule="auto"/>
        <w:ind w:left="60" w:right="112" w:firstLine="548"/>
        <w:rPr>
          <w:rFonts w:hint="eastAsia" w:asciiTheme="minorEastAsia" w:hAnsiTheme="minorEastAsia" w:eastAsiaTheme="minorEastAsia" w:cstheme="minorEastAsia"/>
          <w:snapToGrid w:val="0"/>
          <w:color w:val="000000"/>
          <w:spacing w:val="4"/>
          <w:kern w:val="0"/>
          <w:sz w:val="28"/>
          <w:szCs w:val="28"/>
          <w:lang w:val="en-US" w:eastAsia="zh-CN" w:bidi="ar-SA"/>
        </w:rPr>
      </w:pPr>
    </w:p>
    <w:sectPr>
      <w:pgSz w:w="11906" w:h="16839"/>
      <w:pgMar w:top="567" w:right="567" w:bottom="567" w:left="1134" w:header="0" w:footer="97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68D62">
    <w:pPr>
      <w:spacing w:line="226" w:lineRule="exact"/>
      <w:ind w:left="413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position w:val="1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77D48A8"/>
    <w:rsid w:val="1A183D13"/>
    <w:rsid w:val="23474F72"/>
    <w:rsid w:val="2B1A5A49"/>
    <w:rsid w:val="36B17579"/>
    <w:rsid w:val="45A90354"/>
    <w:rsid w:val="466068D9"/>
    <w:rsid w:val="4BDB4813"/>
    <w:rsid w:val="59B85CA7"/>
    <w:rsid w:val="687B015C"/>
    <w:rsid w:val="6BA8103E"/>
    <w:rsid w:val="72AB7C8C"/>
    <w:rsid w:val="73F32FC1"/>
    <w:rsid w:val="7C5028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楷体" w:hAnsi="楷体" w:eastAsia="楷体" w:cs="楷体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1794</Words>
  <Characters>1814</Characters>
  <TotalTime>10</TotalTime>
  <ScaleCrop>false</ScaleCrop>
  <LinksUpToDate>false</LinksUpToDate>
  <CharactersWithSpaces>1837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2025-09-18T10:02:00Z</dcterms:created>
  <dc:creator>Administrator</dc:creator>
  <cp:lastModifiedBy>众信</cp:lastModifiedBy>
  <dcterms:modified xsi:type="dcterms:W3CDTF">2026-01-10T02:30:18Z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2025-09-18T10:03:18Z</vt:filetime>
  </property>
  <property fmtid="{D5CDD505-2E9C-101B-9397-08002B2CF9AE}" pid="4" name="KSOTemplateDocerSaveRecord">
    <vt:lpwstr>eyJoZGlkIjoiZWQzNmI5YzMzYjk4YTk5MzM0ZWQ5MzAyY2I2ODNiYzQiLCJ1c2VySWQiOiIyMDk2MjE4NDQifQ==</vt:lpwstr>
  </property>
  <property fmtid="{D5CDD505-2E9C-101B-9397-08002B2CF9AE}" pid="5" name="KSOProductBuildVer">
    <vt:lpwstr>2052-12.1.0.24034</vt:lpwstr>
  </property>
  <property fmtid="{D5CDD505-2E9C-101B-9397-08002B2CF9AE}" pid="6" name="ICV">
    <vt:lpwstr>9F095D863DBF4A75B63DBD62EFDCBFB3_12</vt:lpwstr>
  </property>
</Properties>
</file>